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7EAD6">
      <w:pPr>
        <w:spacing w:after="0" w:line="240" w:lineRule="auto"/>
        <w:jc w:val="center"/>
        <w:rPr>
          <w:rFonts w:ascii="Times New Roman" w:hAnsi="Times New Roman"/>
          <w:sz w:val="28"/>
          <w:szCs w:val="28"/>
        </w:rPr>
      </w:pPr>
      <w:r>
        <w:rPr>
          <w:rFonts w:ascii="Times New Roman" w:hAnsi="Times New Roman"/>
          <w:b/>
          <w:bCs/>
          <w:sz w:val="28"/>
          <w:szCs w:val="28"/>
        </w:rPr>
        <w:t>РОССИЙСКАЯ ФЕДЕРАЦИЯ</w:t>
      </w:r>
    </w:p>
    <w:p w14:paraId="1E0C0A30">
      <w:pPr>
        <w:spacing w:after="0" w:line="240" w:lineRule="auto"/>
        <w:jc w:val="center"/>
        <w:rPr>
          <w:rFonts w:ascii="Times New Roman" w:hAnsi="Times New Roman"/>
          <w:sz w:val="28"/>
          <w:szCs w:val="28"/>
        </w:rPr>
      </w:pPr>
      <w:r>
        <w:rPr>
          <w:rFonts w:ascii="Times New Roman" w:hAnsi="Times New Roman"/>
          <w:b/>
          <w:bCs/>
          <w:sz w:val="28"/>
          <w:szCs w:val="28"/>
        </w:rPr>
        <w:t>АДМИНИСТРАЦИЯ ЛОШКАР</w:t>
      </w:r>
      <w:r>
        <w:rPr>
          <w:rFonts w:ascii="Times New Roman" w:hAnsi="Times New Roman"/>
          <w:b/>
          <w:bCs/>
          <w:caps/>
          <w:sz w:val="28"/>
          <w:szCs w:val="28"/>
        </w:rPr>
        <w:t>ИНСКОГО</w:t>
      </w:r>
      <w:r>
        <w:rPr>
          <w:rFonts w:ascii="Times New Roman" w:hAnsi="Times New Roman"/>
          <w:b/>
          <w:bCs/>
          <w:sz w:val="28"/>
          <w:szCs w:val="28"/>
        </w:rPr>
        <w:t xml:space="preserve"> СЕЛЬСКОГО ПОСЕЛЕНИЯ</w:t>
      </w:r>
    </w:p>
    <w:p w14:paraId="4856AE7E">
      <w:pPr>
        <w:spacing w:after="0" w:line="240" w:lineRule="auto"/>
        <w:jc w:val="center"/>
        <w:rPr>
          <w:rFonts w:ascii="Times New Roman" w:hAnsi="Times New Roman"/>
          <w:sz w:val="28"/>
          <w:szCs w:val="28"/>
        </w:rPr>
      </w:pPr>
      <w:r>
        <w:rPr>
          <w:rFonts w:ascii="Times New Roman" w:hAnsi="Times New Roman"/>
          <w:b/>
          <w:bCs/>
          <w:sz w:val="28"/>
          <w:szCs w:val="28"/>
        </w:rPr>
        <w:t>СОВЕТСКОГО РАЙОНА КИРОВСКОЙ ОБЛАСТИ</w:t>
      </w:r>
    </w:p>
    <w:p w14:paraId="1BA60579">
      <w:pPr>
        <w:spacing w:after="0" w:line="240" w:lineRule="auto"/>
        <w:jc w:val="center"/>
        <w:rPr>
          <w:rFonts w:ascii="Times New Roman" w:hAnsi="Times New Roman"/>
          <w:sz w:val="28"/>
          <w:szCs w:val="28"/>
        </w:rPr>
      </w:pPr>
    </w:p>
    <w:p w14:paraId="3B58D83D">
      <w:pPr>
        <w:tabs>
          <w:tab w:val="center" w:pos="4749"/>
          <w:tab w:val="left" w:pos="8670"/>
        </w:tabs>
        <w:spacing w:after="0" w:line="240" w:lineRule="auto"/>
        <w:jc w:val="center"/>
        <w:rPr>
          <w:rFonts w:ascii="Times New Roman" w:hAnsi="Times New Roman"/>
          <w:b/>
          <w:bCs/>
          <w:sz w:val="32"/>
          <w:szCs w:val="32"/>
        </w:rPr>
      </w:pPr>
      <w:r>
        <w:rPr>
          <w:rFonts w:ascii="Times New Roman" w:hAnsi="Times New Roman"/>
          <w:b/>
          <w:bCs/>
          <w:sz w:val="32"/>
          <w:szCs w:val="32"/>
        </w:rPr>
        <w:t>ПОСТАНОВЛЕНИЕ</w:t>
      </w:r>
    </w:p>
    <w:p w14:paraId="04F2AA6E">
      <w:pPr>
        <w:pStyle w:val="24"/>
        <w:rPr>
          <w:rFonts w:hint="default"/>
          <w:color w:val="FF0000"/>
          <w:sz w:val="28"/>
          <w:szCs w:val="28"/>
          <w:lang w:val="ru-RU"/>
        </w:rPr>
      </w:pPr>
      <w:r>
        <w:rPr>
          <w:sz w:val="28"/>
          <w:szCs w:val="28"/>
        </w:rPr>
        <w:t>от 2</w:t>
      </w:r>
      <w:r>
        <w:rPr>
          <w:rFonts w:hint="default"/>
          <w:sz w:val="28"/>
          <w:szCs w:val="28"/>
          <w:lang w:val="ru-RU"/>
        </w:rPr>
        <w:t>2</w:t>
      </w:r>
      <w:r>
        <w:rPr>
          <w:sz w:val="28"/>
          <w:szCs w:val="28"/>
        </w:rPr>
        <w:t>.</w:t>
      </w:r>
      <w:r>
        <w:rPr>
          <w:rFonts w:hint="default"/>
          <w:sz w:val="28"/>
          <w:szCs w:val="28"/>
          <w:lang w:val="ru-RU"/>
        </w:rPr>
        <w:t>1</w:t>
      </w:r>
      <w:r>
        <w:rPr>
          <w:sz w:val="28"/>
          <w:szCs w:val="28"/>
        </w:rPr>
        <w:t>0.2024                                                                                                    № 7</w:t>
      </w:r>
      <w:r>
        <w:rPr>
          <w:rFonts w:hint="default"/>
          <w:sz w:val="28"/>
          <w:szCs w:val="28"/>
          <w:lang w:val="ru-RU"/>
        </w:rPr>
        <w:t>3</w:t>
      </w:r>
    </w:p>
    <w:p w14:paraId="5CD4BFED">
      <w:pPr>
        <w:pStyle w:val="24"/>
        <w:spacing w:before="0" w:beforeAutospacing="0" w:after="0" w:afterAutospacing="0"/>
        <w:jc w:val="center"/>
      </w:pPr>
      <w:r>
        <w:t>д.Лошкари</w:t>
      </w:r>
    </w:p>
    <w:p w14:paraId="7DC90FCC">
      <w:pPr>
        <w:pStyle w:val="24"/>
        <w:spacing w:before="0" w:beforeAutospacing="0" w:after="0" w:afterAutospacing="0"/>
        <w:jc w:val="center"/>
      </w:pPr>
    </w:p>
    <w:p w14:paraId="094B8A4C">
      <w:pPr>
        <w:spacing w:before="480"/>
        <w:jc w:val="center"/>
        <w:rPr>
          <w:b/>
          <w:sz w:val="28"/>
          <w:szCs w:val="28"/>
        </w:rPr>
      </w:pPr>
      <w:r>
        <w:rPr>
          <w:b/>
          <w:sz w:val="28"/>
          <w:szCs w:val="28"/>
        </w:rPr>
        <w:t xml:space="preserve">Об утверждении Порядка проведения антикоррупционной </w:t>
      </w:r>
    </w:p>
    <w:p w14:paraId="756E943F">
      <w:pPr>
        <w:jc w:val="center"/>
        <w:rPr>
          <w:b/>
          <w:sz w:val="28"/>
          <w:szCs w:val="28"/>
        </w:rPr>
      </w:pPr>
      <w:r>
        <w:rPr>
          <w:b/>
          <w:sz w:val="28"/>
          <w:szCs w:val="28"/>
        </w:rPr>
        <w:t xml:space="preserve">экспертизы муниципальных нормативных правовых актов </w:t>
      </w:r>
    </w:p>
    <w:p w14:paraId="41C9D984">
      <w:pPr>
        <w:jc w:val="center"/>
        <w:rPr>
          <w:b/>
          <w:sz w:val="28"/>
          <w:szCs w:val="28"/>
        </w:rPr>
      </w:pPr>
      <w:r>
        <w:rPr>
          <w:b/>
          <w:sz w:val="28"/>
          <w:szCs w:val="28"/>
        </w:rPr>
        <w:t>и проектов муниципальных нормативных правовых актов</w:t>
      </w:r>
    </w:p>
    <w:p w14:paraId="3A8CD2E3">
      <w:pPr>
        <w:spacing w:before="480" w:line="360" w:lineRule="exact"/>
        <w:ind w:firstLine="709"/>
        <w:jc w:val="both"/>
        <w:rPr>
          <w:sz w:val="28"/>
          <w:szCs w:val="28"/>
        </w:rPr>
      </w:pPr>
      <w:r>
        <w:rPr>
          <w:sz w:val="28"/>
          <w:szCs w:val="28"/>
        </w:rPr>
        <w:t xml:space="preserve">В соответствии с </w:t>
      </w:r>
      <w:r>
        <w:rPr>
          <w:sz w:val="28"/>
          <w:szCs w:val="28"/>
          <w:lang w:val="ru-RU"/>
        </w:rPr>
        <w:t>Ф</w:t>
      </w:r>
      <w:r>
        <w:rPr>
          <w:sz w:val="28"/>
          <w:szCs w:val="28"/>
        </w:rPr>
        <w:t>едеральными законами от 25.12.2008 № 273-ФЗ</w:t>
      </w:r>
      <w:r>
        <w:rPr>
          <w:rFonts w:hint="default"/>
          <w:sz w:val="28"/>
          <w:szCs w:val="28"/>
          <w:lang w:val="ru-RU"/>
        </w:rPr>
        <w:t xml:space="preserve"> </w:t>
      </w:r>
      <w:r>
        <w:rPr>
          <w:sz w:val="28"/>
          <w:szCs w:val="28"/>
        </w:rPr>
        <w:t>«О противодействии коррупции», от 17.07.2009 № 172-ФЗ</w:t>
      </w:r>
      <w:r>
        <w:rPr>
          <w:rFonts w:hint="default"/>
          <w:sz w:val="28"/>
          <w:szCs w:val="28"/>
          <w:lang w:val="ru-RU"/>
        </w:rPr>
        <w:t xml:space="preserve"> </w:t>
      </w:r>
      <w:r>
        <w:rPr>
          <w:sz w:val="28"/>
          <w:szCs w:val="28"/>
        </w:rPr>
        <w:t>«Об антикоррупционной экспертизе нормативных правовых актов и проектов</w:t>
      </w:r>
      <w:r>
        <w:rPr>
          <w:rFonts w:hint="default"/>
          <w:sz w:val="28"/>
          <w:szCs w:val="28"/>
          <w:lang w:val="ru-RU"/>
        </w:rPr>
        <w:t xml:space="preserve"> </w:t>
      </w:r>
      <w:r>
        <w:rPr>
          <w:sz w:val="28"/>
          <w:szCs w:val="28"/>
        </w:rPr>
        <w:t>нормативных правовых актов», Законом Кировской области от 30.04.2009</w:t>
      </w:r>
      <w:r>
        <w:rPr>
          <w:rFonts w:hint="default"/>
          <w:sz w:val="28"/>
          <w:szCs w:val="28"/>
          <w:lang w:val="ru-RU"/>
        </w:rPr>
        <w:t xml:space="preserve"> </w:t>
      </w:r>
      <w:r>
        <w:rPr>
          <w:sz w:val="28"/>
          <w:szCs w:val="28"/>
        </w:rPr>
        <w:t>№ 365-ЗО «О противодействии коррупции в Кировской области» администрация</w:t>
      </w:r>
      <w:r>
        <w:rPr>
          <w:rFonts w:hint="default"/>
          <w:sz w:val="28"/>
          <w:szCs w:val="28"/>
          <w:lang w:val="ru-RU"/>
        </w:rPr>
        <w:t xml:space="preserve"> </w:t>
      </w:r>
      <w:r>
        <w:rPr>
          <w:rFonts w:ascii="Times New Roman" w:hAnsi="Times New Roman" w:cs="Times New Roman"/>
          <w:bCs/>
          <w:sz w:val="28"/>
          <w:szCs w:val="28"/>
          <w:lang w:eastAsia="ar-SA"/>
        </w:rPr>
        <w:t>Лошкаринского сельского поселения</w:t>
      </w:r>
      <w:r>
        <w:rPr>
          <w:sz w:val="28"/>
          <w:szCs w:val="28"/>
        </w:rPr>
        <w:t xml:space="preserve"> ПОСТАНОВЛЯЕТ:</w:t>
      </w:r>
    </w:p>
    <w:p w14:paraId="17FB61CE">
      <w:pPr>
        <w:numPr>
          <w:ilvl w:val="0"/>
          <w:numId w:val="1"/>
        </w:numPr>
        <w:spacing w:line="360" w:lineRule="exact"/>
        <w:ind w:firstLine="709"/>
        <w:jc w:val="both"/>
        <w:rPr>
          <w:rFonts w:ascii="Times New Roman" w:hAnsi="Times New Roman"/>
          <w:sz w:val="28"/>
          <w:szCs w:val="28"/>
        </w:rPr>
      </w:pPr>
      <w:r>
        <w:rPr>
          <w:sz w:val="28"/>
          <w:szCs w:val="28"/>
        </w:rPr>
        <w:t>Утвердить Порядок проведения антикоррупционной экспертизы муниципальных нормативных правовых актов и проектов муниципальных нормативных правовых актов согласно приложению.</w:t>
      </w:r>
    </w:p>
    <w:p w14:paraId="0A658001">
      <w:pPr>
        <w:numPr>
          <w:ilvl w:val="0"/>
          <w:numId w:val="1"/>
        </w:numPr>
        <w:spacing w:line="360" w:lineRule="exact"/>
        <w:ind w:firstLine="709"/>
        <w:jc w:val="both"/>
        <w:rPr>
          <w:sz w:val="28"/>
          <w:szCs w:val="28"/>
        </w:rPr>
      </w:pPr>
      <w:r>
        <w:rPr>
          <w:rFonts w:ascii="Times New Roman" w:hAnsi="Times New Roman"/>
          <w:sz w:val="28"/>
          <w:szCs w:val="28"/>
        </w:rPr>
        <w:t xml:space="preserve">Опубликовать настоящее постановление в Информационном бюллетене органов местного самоуправления муниципального образования Лошкаринское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fldChar w:fldCharType="begin"/>
      </w:r>
      <w:r>
        <w:instrText xml:space="preserve"> HYPERLINK "http://www.советский43.рф" </w:instrText>
      </w:r>
      <w:r>
        <w:fldChar w:fldCharType="separate"/>
      </w:r>
      <w:r>
        <w:rPr>
          <w:rStyle w:val="5"/>
          <w:rFonts w:ascii="Times New Roman" w:hAnsi="Times New Roman"/>
          <w:sz w:val="28"/>
          <w:szCs w:val="28"/>
          <w:lang w:val="en-US"/>
        </w:rPr>
        <w:t>www</w:t>
      </w:r>
      <w:r>
        <w:rPr>
          <w:rStyle w:val="5"/>
          <w:rFonts w:ascii="Times New Roman" w:hAnsi="Times New Roman"/>
          <w:sz w:val="28"/>
          <w:szCs w:val="28"/>
        </w:rPr>
        <w:t>.советский43.рф</w:t>
      </w:r>
      <w:r>
        <w:rPr>
          <w:rStyle w:val="5"/>
          <w:rFonts w:ascii="Times New Roman" w:hAnsi="Times New Roman"/>
          <w:sz w:val="28"/>
          <w:szCs w:val="28"/>
        </w:rPr>
        <w:fldChar w:fldCharType="end"/>
      </w:r>
      <w:r>
        <w:rPr>
          <w:rFonts w:ascii="Times New Roman" w:hAnsi="Times New Roman"/>
          <w:sz w:val="28"/>
          <w:szCs w:val="28"/>
        </w:rPr>
        <w:t>.</w:t>
      </w:r>
    </w:p>
    <w:p w14:paraId="28817FFD">
      <w:pPr>
        <w:numPr>
          <w:ilvl w:val="0"/>
          <w:numId w:val="1"/>
        </w:numPr>
        <w:spacing w:line="360" w:lineRule="exact"/>
        <w:ind w:firstLine="709"/>
        <w:jc w:val="both"/>
        <w:rPr>
          <w:rFonts w:ascii="Times New Roman" w:hAnsi="Times New Roman" w:cs="Times New Roman"/>
          <w:sz w:val="28"/>
          <w:szCs w:val="28"/>
        </w:rPr>
      </w:pPr>
      <w:r>
        <w:rPr>
          <w:sz w:val="28"/>
          <w:szCs w:val="28"/>
        </w:rPr>
        <w:t xml:space="preserve">Контроль за исполнением постановления возложить на </w:t>
      </w:r>
      <w:r>
        <w:rPr>
          <w:sz w:val="28"/>
          <w:szCs w:val="28"/>
          <w:lang w:val="ru-RU"/>
        </w:rPr>
        <w:t>специалиста</w:t>
      </w:r>
      <w:r>
        <w:rPr>
          <w:rFonts w:hint="default"/>
          <w:sz w:val="28"/>
          <w:szCs w:val="28"/>
          <w:lang w:val="ru-RU"/>
        </w:rPr>
        <w:t xml:space="preserve"> 1 категории Т.П. Липатникову</w:t>
      </w:r>
      <w:r>
        <w:rPr>
          <w:sz w:val="28"/>
          <w:szCs w:val="28"/>
        </w:rPr>
        <w:t>.</w:t>
      </w:r>
    </w:p>
    <w:p w14:paraId="1081B39C">
      <w:pPr>
        <w:numPr>
          <w:ilvl w:val="0"/>
          <w:numId w:val="1"/>
        </w:num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Настоящее постановление вступает в силу после его официального опубликования.</w:t>
      </w:r>
    </w:p>
    <w:p w14:paraId="77155BC0">
      <w:pPr>
        <w:numPr>
          <w:ilvl w:val="0"/>
          <w:numId w:val="0"/>
        </w:numPr>
        <w:spacing w:after="0" w:line="360" w:lineRule="exact"/>
        <w:jc w:val="both"/>
        <w:rPr>
          <w:rFonts w:ascii="Times New Roman" w:hAnsi="Times New Roman" w:cs="Times New Roman"/>
          <w:sz w:val="28"/>
          <w:szCs w:val="28"/>
        </w:rPr>
      </w:pPr>
    </w:p>
    <w:p w14:paraId="1828E450">
      <w:pPr>
        <w:numPr>
          <w:ilvl w:val="0"/>
          <w:numId w:val="0"/>
        </w:numPr>
        <w:spacing w:after="0" w:line="360" w:lineRule="exact"/>
        <w:jc w:val="both"/>
        <w:rPr>
          <w:rFonts w:ascii="Times New Roman" w:hAnsi="Times New Roman" w:cs="Times New Roman"/>
          <w:sz w:val="28"/>
          <w:szCs w:val="28"/>
        </w:rPr>
      </w:pPr>
    </w:p>
    <w:p w14:paraId="2216798B">
      <w:pPr>
        <w:numPr>
          <w:ilvl w:val="0"/>
          <w:numId w:val="0"/>
        </w:numPr>
        <w:spacing w:after="0" w:line="360" w:lineRule="exact"/>
        <w:jc w:val="both"/>
        <w:rPr>
          <w:rFonts w:ascii="Times New Roman" w:hAnsi="Times New Roman" w:cs="Times New Roman"/>
          <w:sz w:val="28"/>
          <w:szCs w:val="28"/>
        </w:rPr>
      </w:pPr>
    </w:p>
    <w:p w14:paraId="357A9A71">
      <w:pPr>
        <w:spacing w:after="0" w:line="240" w:lineRule="auto"/>
        <w:rPr>
          <w:rFonts w:ascii="Times New Roman" w:hAnsi="Times New Roman" w:eastAsia="Times New Roman" w:cs="Times New Roman"/>
          <w:sz w:val="28"/>
          <w:szCs w:val="28"/>
          <w:lang w:eastAsia="en-US" w:bidi="en-US"/>
        </w:rPr>
      </w:pPr>
      <w:r>
        <w:rPr>
          <w:rFonts w:ascii="Times New Roman" w:hAnsi="Times New Roman" w:eastAsia="Times New Roman" w:cs="Times New Roman"/>
          <w:sz w:val="28"/>
          <w:szCs w:val="28"/>
          <w:lang w:eastAsia="en-US" w:bidi="en-US"/>
        </w:rPr>
        <w:t>Глава администрации</w:t>
      </w:r>
    </w:p>
    <w:p w14:paraId="17D06FB1">
      <w:pPr>
        <w:spacing w:after="0" w:line="240" w:lineRule="auto"/>
        <w:rPr>
          <w:rFonts w:ascii="Times New Roman" w:hAnsi="Times New Roman" w:cs="Times New Roman"/>
          <w:sz w:val="28"/>
          <w:szCs w:val="28"/>
        </w:rPr>
      </w:pPr>
      <w:r>
        <w:rPr>
          <w:rFonts w:ascii="Times New Roman" w:hAnsi="Times New Roman" w:eastAsia="Times New Roman" w:cs="Times New Roman"/>
          <w:sz w:val="28"/>
          <w:szCs w:val="28"/>
          <w:lang w:eastAsia="en-US" w:bidi="en-US"/>
        </w:rPr>
        <w:t>Лошкаринского сельского поселения                                        С.Н. Смоленцева</w:t>
      </w:r>
    </w:p>
    <w:p w14:paraId="504CC2BA">
      <w:pPr>
        <w:rPr>
          <w:rStyle w:val="22"/>
          <w:sz w:val="28"/>
          <w:szCs w:val="28"/>
          <w:lang w:val="en-US"/>
        </w:rPr>
      </w:pPr>
      <w:r>
        <w:rPr>
          <w:rStyle w:val="22"/>
          <w:sz w:val="28"/>
          <w:szCs w:val="28"/>
          <w:lang w:val="en-US"/>
        </w:rPr>
        <w:br w:type="page"/>
      </w:r>
    </w:p>
    <w:p w14:paraId="19E2ED84">
      <w:pPr>
        <w:autoSpaceDE w:val="0"/>
        <w:ind w:left="0" w:leftChars="0" w:firstLine="4800" w:firstLineChars="0"/>
        <w:jc w:val="both"/>
        <w:rPr>
          <w:rStyle w:val="22"/>
          <w:color w:val="000000" w:themeColor="text1"/>
          <w:sz w:val="28"/>
          <w:szCs w:val="28"/>
        </w:rPr>
      </w:pPr>
      <w:r>
        <w:rPr>
          <w:rStyle w:val="22"/>
          <w:color w:val="000000" w:themeColor="text1"/>
          <w:sz w:val="28"/>
          <w:szCs w:val="28"/>
        </w:rPr>
        <w:t>Приложение</w:t>
      </w:r>
    </w:p>
    <w:p w14:paraId="74F612E4">
      <w:pPr>
        <w:autoSpaceDE w:val="0"/>
        <w:ind w:left="0" w:leftChars="0" w:firstLine="4800" w:firstLineChars="0"/>
        <w:jc w:val="both"/>
        <w:rPr>
          <w:rStyle w:val="22"/>
          <w:color w:val="000000" w:themeColor="text1"/>
          <w:sz w:val="28"/>
          <w:szCs w:val="28"/>
        </w:rPr>
      </w:pPr>
    </w:p>
    <w:p w14:paraId="4C310BB6">
      <w:pPr>
        <w:autoSpaceDE w:val="0"/>
        <w:ind w:left="0" w:leftChars="0" w:firstLine="4800" w:firstLineChars="0"/>
        <w:jc w:val="both"/>
        <w:rPr>
          <w:rStyle w:val="22"/>
          <w:color w:val="000000" w:themeColor="text1"/>
          <w:sz w:val="28"/>
          <w:szCs w:val="28"/>
        </w:rPr>
      </w:pPr>
      <w:r>
        <w:rPr>
          <w:rStyle w:val="22"/>
          <w:color w:val="000000" w:themeColor="text1"/>
          <w:sz w:val="28"/>
          <w:szCs w:val="28"/>
        </w:rPr>
        <w:t>УТВЕРЖДЕН</w:t>
      </w:r>
    </w:p>
    <w:p w14:paraId="6B8A7DAB">
      <w:pPr>
        <w:autoSpaceDE w:val="0"/>
        <w:ind w:left="0" w:leftChars="0" w:firstLine="4800" w:firstLineChars="0"/>
        <w:jc w:val="both"/>
        <w:rPr>
          <w:rStyle w:val="22"/>
          <w:color w:val="000000" w:themeColor="text1"/>
          <w:sz w:val="28"/>
          <w:szCs w:val="28"/>
        </w:rPr>
      </w:pPr>
    </w:p>
    <w:p w14:paraId="2F14B852">
      <w:pPr>
        <w:autoSpaceDE w:val="0"/>
        <w:ind w:left="0" w:leftChars="0" w:firstLine="4800" w:firstLineChars="0"/>
        <w:jc w:val="both"/>
        <w:rPr>
          <w:rStyle w:val="22"/>
          <w:color w:val="000000" w:themeColor="text1"/>
          <w:sz w:val="28"/>
          <w:szCs w:val="28"/>
        </w:rPr>
      </w:pPr>
      <w:r>
        <w:rPr>
          <w:rStyle w:val="22"/>
          <w:color w:val="000000" w:themeColor="text1"/>
          <w:sz w:val="28"/>
          <w:szCs w:val="28"/>
        </w:rPr>
        <w:t>постановлением администрации</w:t>
      </w:r>
    </w:p>
    <w:p w14:paraId="04C69FBB">
      <w:pPr>
        <w:ind w:left="4800" w:leftChars="2000" w:firstLine="0" w:firstLineChars="0"/>
        <w:rPr>
          <w:rStyle w:val="22"/>
          <w:rFonts w:hint="default"/>
          <w:color w:val="000000" w:themeColor="text1"/>
          <w:sz w:val="28"/>
          <w:szCs w:val="28"/>
          <w:lang w:val="ru-RU"/>
        </w:rPr>
      </w:pPr>
      <w:r>
        <w:rPr>
          <w:rFonts w:ascii="Times New Roman" w:hAnsi="Times New Roman" w:eastAsia="Times New Roman" w:cs="Times New Roman"/>
          <w:sz w:val="28"/>
          <w:szCs w:val="28"/>
          <w:lang w:eastAsia="en-US" w:bidi="en-US"/>
        </w:rPr>
        <w:t>Лошкаринского сельского поселения</w:t>
      </w:r>
      <w:r>
        <w:rPr>
          <w:rFonts w:hint="default" w:cs="Times New Roman"/>
          <w:sz w:val="28"/>
          <w:szCs w:val="28"/>
          <w:lang w:val="ru-RU" w:eastAsia="en-US" w:bidi="en-US"/>
        </w:rPr>
        <w:t xml:space="preserve"> о</w:t>
      </w:r>
      <w:r>
        <w:rPr>
          <w:rStyle w:val="22"/>
          <w:color w:val="000000" w:themeColor="text1"/>
          <w:sz w:val="28"/>
          <w:szCs w:val="28"/>
        </w:rPr>
        <w:t xml:space="preserve">т </w:t>
      </w:r>
      <w:r>
        <w:rPr>
          <w:rStyle w:val="22"/>
          <w:rFonts w:hint="default"/>
          <w:color w:val="000000" w:themeColor="text1"/>
          <w:sz w:val="28"/>
          <w:szCs w:val="28"/>
          <w:lang w:val="ru-RU"/>
        </w:rPr>
        <w:t>22.10.</w:t>
      </w:r>
      <w:r>
        <w:rPr>
          <w:rStyle w:val="22"/>
          <w:color w:val="000000" w:themeColor="text1"/>
          <w:sz w:val="28"/>
          <w:szCs w:val="28"/>
        </w:rPr>
        <w:t>20</w:t>
      </w:r>
      <w:r>
        <w:rPr>
          <w:rStyle w:val="22"/>
          <w:rFonts w:hint="default"/>
          <w:color w:val="000000" w:themeColor="text1"/>
          <w:sz w:val="28"/>
          <w:szCs w:val="28"/>
          <w:lang w:val="ru-RU"/>
        </w:rPr>
        <w:t>24</w:t>
      </w:r>
      <w:r>
        <w:rPr>
          <w:rStyle w:val="22"/>
          <w:color w:val="000000" w:themeColor="text1"/>
          <w:sz w:val="28"/>
          <w:szCs w:val="28"/>
        </w:rPr>
        <w:t xml:space="preserve"> № </w:t>
      </w:r>
      <w:r>
        <w:rPr>
          <w:rStyle w:val="22"/>
          <w:rFonts w:hint="default"/>
          <w:color w:val="000000" w:themeColor="text1"/>
          <w:sz w:val="28"/>
          <w:szCs w:val="28"/>
          <w:lang w:val="ru-RU"/>
        </w:rPr>
        <w:t>73</w:t>
      </w:r>
    </w:p>
    <w:p w14:paraId="4F5F4D06">
      <w:pPr>
        <w:spacing w:before="480"/>
        <w:jc w:val="center"/>
        <w:rPr>
          <w:b/>
          <w:color w:val="000000" w:themeColor="text1"/>
          <w:sz w:val="28"/>
          <w:szCs w:val="28"/>
        </w:rPr>
      </w:pPr>
      <w:r>
        <w:rPr>
          <w:b/>
          <w:color w:val="000000" w:themeColor="text1"/>
          <w:sz w:val="28"/>
          <w:szCs w:val="28"/>
        </w:rPr>
        <w:t>ПОРЯДОК</w:t>
      </w:r>
    </w:p>
    <w:p w14:paraId="62948510">
      <w:pPr>
        <w:jc w:val="center"/>
        <w:rPr>
          <w:b/>
          <w:color w:val="000000" w:themeColor="text1"/>
          <w:sz w:val="28"/>
          <w:szCs w:val="28"/>
        </w:rPr>
      </w:pPr>
      <w:r>
        <w:rPr>
          <w:b/>
          <w:color w:val="000000" w:themeColor="text1"/>
          <w:sz w:val="28"/>
          <w:szCs w:val="28"/>
        </w:rPr>
        <w:t xml:space="preserve">проведения антикоррупционной экспертизы </w:t>
      </w:r>
    </w:p>
    <w:p w14:paraId="6F885439">
      <w:pPr>
        <w:jc w:val="center"/>
        <w:rPr>
          <w:b/>
          <w:color w:val="000000" w:themeColor="text1"/>
          <w:sz w:val="28"/>
          <w:szCs w:val="28"/>
        </w:rPr>
      </w:pPr>
      <w:r>
        <w:rPr>
          <w:b/>
          <w:color w:val="000000" w:themeColor="text1"/>
          <w:sz w:val="28"/>
          <w:szCs w:val="28"/>
        </w:rPr>
        <w:t>муниципальных нормативных правовых актов и</w:t>
      </w:r>
    </w:p>
    <w:p w14:paraId="24E87538">
      <w:pPr>
        <w:jc w:val="center"/>
        <w:rPr>
          <w:b/>
          <w:color w:val="000000" w:themeColor="text1"/>
          <w:sz w:val="28"/>
          <w:szCs w:val="28"/>
        </w:rPr>
      </w:pPr>
      <w:r>
        <w:rPr>
          <w:b/>
          <w:color w:val="000000" w:themeColor="text1"/>
          <w:sz w:val="28"/>
          <w:szCs w:val="28"/>
        </w:rPr>
        <w:t>проектов муниципальных нормативных правовых актов</w:t>
      </w:r>
    </w:p>
    <w:p w14:paraId="4B501877">
      <w:pPr>
        <w:pStyle w:val="17"/>
        <w:spacing w:line="360" w:lineRule="auto"/>
        <w:ind w:firstLine="709"/>
        <w:jc w:val="both"/>
        <w:rPr>
          <w:color w:val="000000" w:themeColor="text1"/>
          <w:sz w:val="28"/>
          <w:szCs w:val="28"/>
        </w:rPr>
      </w:pPr>
    </w:p>
    <w:p w14:paraId="1DCCE4A6">
      <w:pPr>
        <w:pStyle w:val="17"/>
        <w:numPr>
          <w:ilvl w:val="0"/>
          <w:numId w:val="2"/>
        </w:numPr>
        <w:ind w:left="1066" w:hanging="357"/>
        <w:jc w:val="both"/>
        <w:rPr>
          <w:b/>
          <w:color w:val="000000" w:themeColor="text1"/>
          <w:sz w:val="28"/>
          <w:szCs w:val="28"/>
        </w:rPr>
      </w:pPr>
      <w:r>
        <w:rPr>
          <w:b/>
          <w:color w:val="000000" w:themeColor="text1"/>
          <w:sz w:val="28"/>
          <w:szCs w:val="28"/>
        </w:rPr>
        <w:t>Общие положения</w:t>
      </w:r>
    </w:p>
    <w:p w14:paraId="0109A696">
      <w:pPr>
        <w:pStyle w:val="17"/>
        <w:ind w:left="1072"/>
        <w:jc w:val="both"/>
        <w:rPr>
          <w:b/>
          <w:color w:val="000000" w:themeColor="text1"/>
          <w:sz w:val="28"/>
          <w:szCs w:val="28"/>
        </w:rPr>
      </w:pPr>
    </w:p>
    <w:p w14:paraId="3CF85730">
      <w:pPr>
        <w:pStyle w:val="17"/>
        <w:spacing w:line="360" w:lineRule="auto"/>
        <w:ind w:firstLine="709"/>
        <w:jc w:val="both"/>
        <w:rPr>
          <w:color w:val="000000" w:themeColor="text1"/>
          <w:sz w:val="28"/>
          <w:szCs w:val="28"/>
        </w:rPr>
      </w:pPr>
      <w:r>
        <w:rPr>
          <w:color w:val="000000" w:themeColor="text1"/>
          <w:sz w:val="28"/>
          <w:szCs w:val="28"/>
        </w:rPr>
        <w:t xml:space="preserve">1.1. Порядок проведения антикоррупционной экспертизы муниципальных нормативных правовых актов и проектов муниципальных нормативных правовых актов (далее – Порядок) определяет процедуру проведения антикоррупционной экспертизы муниципальных нормативных правовых актов и их проектов администрацией </w:t>
      </w:r>
      <w:r>
        <w:rPr>
          <w:rFonts w:ascii="Times New Roman" w:hAnsi="Times New Roman" w:eastAsia="Times New Roman" w:cs="Times New Roman"/>
          <w:sz w:val="28"/>
          <w:szCs w:val="28"/>
          <w:lang w:eastAsia="en-US" w:bidi="en-US"/>
        </w:rPr>
        <w:t>Лошкаринского сельского поселения</w:t>
      </w:r>
      <w:r>
        <w:rPr>
          <w:color w:val="000000" w:themeColor="text1"/>
          <w:sz w:val="28"/>
          <w:szCs w:val="28"/>
        </w:rPr>
        <w:t xml:space="preserve"> (далее – администрация).</w:t>
      </w:r>
    </w:p>
    <w:p w14:paraId="35B21FAE">
      <w:pPr>
        <w:pStyle w:val="17"/>
        <w:spacing w:line="360" w:lineRule="auto"/>
        <w:ind w:firstLine="709"/>
        <w:jc w:val="both"/>
        <w:rPr>
          <w:color w:val="000000" w:themeColor="text1"/>
          <w:sz w:val="28"/>
          <w:szCs w:val="28"/>
        </w:rPr>
      </w:pPr>
      <w:r>
        <w:rPr>
          <w:color w:val="000000" w:themeColor="text1"/>
          <w:sz w:val="28"/>
          <w:szCs w:val="28"/>
        </w:rPr>
        <w:t>1.2. Целью проведения антикоррупционной экспертизы является выявление в муниципальных нормативных правовых актах и их проектах коррупциогенных факторов и их последующее устранение.</w:t>
      </w:r>
    </w:p>
    <w:p w14:paraId="78AED997">
      <w:pPr>
        <w:pStyle w:val="17"/>
        <w:spacing w:line="360" w:lineRule="auto"/>
        <w:ind w:firstLine="709"/>
        <w:jc w:val="both"/>
        <w:rPr>
          <w:color w:val="000000" w:themeColor="text1"/>
          <w:sz w:val="28"/>
          <w:szCs w:val="28"/>
        </w:rPr>
      </w:pPr>
      <w:r>
        <w:rPr>
          <w:color w:val="000000" w:themeColor="text1"/>
          <w:sz w:val="28"/>
          <w:szCs w:val="28"/>
        </w:rPr>
        <w:t>1.3. Основные понятия в настоящем Порядке используются в том же значении, в котором они приведены в Федеральном законе от 25.12.2008№ 273-ФЗ «О противодействии коррупции», Федеральном законе от 17.07.2009 № 172-ФЗ «Об антикоррупционной экспертизе нормативных правовых актов и проектов нормативных правовых актов».</w:t>
      </w:r>
    </w:p>
    <w:p w14:paraId="1D9425F5">
      <w:pPr>
        <w:pStyle w:val="17"/>
        <w:spacing w:line="360" w:lineRule="auto"/>
        <w:ind w:firstLine="709"/>
        <w:jc w:val="both"/>
        <w:rPr>
          <w:color w:val="000000" w:themeColor="text1"/>
          <w:sz w:val="28"/>
          <w:szCs w:val="28"/>
        </w:rPr>
      </w:pPr>
      <w:r>
        <w:rPr>
          <w:color w:val="000000" w:themeColor="text1"/>
          <w:sz w:val="28"/>
          <w:szCs w:val="28"/>
        </w:rPr>
        <w:t>1.4. При проведении антикоррупционной экспертизы используется Методика проведения антикоррупционной экспертизы нормативных правовых актов и проектов нормативных правовых актов (далее – Методика), утвержденная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w:t>
      </w:r>
    </w:p>
    <w:p w14:paraId="233FF329">
      <w:pPr>
        <w:pStyle w:val="17"/>
        <w:spacing w:line="360" w:lineRule="auto"/>
        <w:ind w:firstLine="709"/>
        <w:jc w:val="both"/>
        <w:rPr>
          <w:color w:val="000000" w:themeColor="text1"/>
          <w:sz w:val="28"/>
          <w:szCs w:val="28"/>
        </w:rPr>
      </w:pPr>
    </w:p>
    <w:p w14:paraId="5A9E1D5B">
      <w:pPr>
        <w:pStyle w:val="17"/>
        <w:ind w:firstLine="709"/>
        <w:jc w:val="both"/>
        <w:rPr>
          <w:b/>
          <w:color w:val="000000" w:themeColor="text1"/>
          <w:sz w:val="28"/>
          <w:szCs w:val="28"/>
        </w:rPr>
      </w:pPr>
      <w:r>
        <w:rPr>
          <w:b/>
          <w:color w:val="000000" w:themeColor="text1"/>
          <w:sz w:val="28"/>
          <w:szCs w:val="28"/>
        </w:rPr>
        <w:t>2. Виды антикоррупционной экспертизы</w:t>
      </w:r>
    </w:p>
    <w:p w14:paraId="3A656495">
      <w:pPr>
        <w:pStyle w:val="17"/>
        <w:ind w:firstLine="709"/>
        <w:jc w:val="both"/>
        <w:rPr>
          <w:color w:val="000000" w:themeColor="text1"/>
          <w:sz w:val="28"/>
          <w:szCs w:val="28"/>
        </w:rPr>
      </w:pPr>
    </w:p>
    <w:p w14:paraId="7CD01372">
      <w:pPr>
        <w:pStyle w:val="17"/>
        <w:spacing w:line="360" w:lineRule="auto"/>
        <w:ind w:firstLine="709"/>
        <w:jc w:val="both"/>
        <w:rPr>
          <w:color w:val="000000" w:themeColor="text1"/>
          <w:sz w:val="28"/>
          <w:szCs w:val="28"/>
        </w:rPr>
      </w:pPr>
      <w:r>
        <w:rPr>
          <w:color w:val="000000" w:themeColor="text1"/>
          <w:sz w:val="28"/>
          <w:szCs w:val="28"/>
        </w:rPr>
        <w:t>2.1.</w:t>
      </w:r>
      <w:r>
        <w:rPr>
          <w:color w:val="000000" w:themeColor="text1"/>
          <w:sz w:val="28"/>
          <w:szCs w:val="28"/>
        </w:rPr>
        <w:tab/>
      </w:r>
      <w:r>
        <w:rPr>
          <w:color w:val="000000" w:themeColor="text1"/>
          <w:sz w:val="28"/>
          <w:szCs w:val="28"/>
        </w:rPr>
        <w:t>К видам антикоррупционной экспертизы относятся:</w:t>
      </w:r>
    </w:p>
    <w:p w14:paraId="52A3E87C">
      <w:pPr>
        <w:pStyle w:val="17"/>
        <w:spacing w:line="360" w:lineRule="auto"/>
        <w:ind w:firstLine="709"/>
        <w:jc w:val="both"/>
        <w:rPr>
          <w:color w:val="000000" w:themeColor="text1"/>
          <w:sz w:val="28"/>
          <w:szCs w:val="28"/>
        </w:rPr>
      </w:pPr>
      <w:r>
        <w:rPr>
          <w:color w:val="000000" w:themeColor="text1"/>
          <w:sz w:val="28"/>
          <w:szCs w:val="28"/>
        </w:rPr>
        <w:t>антикоррупционная экспертиза, осуществляемая при проведении правовой экспертизы проектов муниципальных нормативных правовых актов;</w:t>
      </w:r>
    </w:p>
    <w:p w14:paraId="7C43A6A2">
      <w:pPr>
        <w:pStyle w:val="17"/>
        <w:spacing w:line="360" w:lineRule="auto"/>
        <w:ind w:firstLine="709"/>
        <w:jc w:val="both"/>
        <w:rPr>
          <w:color w:val="000000" w:themeColor="text1"/>
          <w:sz w:val="28"/>
          <w:szCs w:val="28"/>
        </w:rPr>
      </w:pPr>
      <w:r>
        <w:rPr>
          <w:color w:val="000000" w:themeColor="text1"/>
          <w:sz w:val="28"/>
          <w:szCs w:val="28"/>
        </w:rPr>
        <w:t>антикоррупционная экспертиза действующих муниципальных нормативных правовых актов;</w:t>
      </w:r>
    </w:p>
    <w:p w14:paraId="356EC3AE">
      <w:pPr>
        <w:pStyle w:val="17"/>
        <w:spacing w:line="360" w:lineRule="auto"/>
        <w:ind w:firstLine="709"/>
        <w:jc w:val="both"/>
        <w:rPr>
          <w:color w:val="000000" w:themeColor="text1"/>
          <w:sz w:val="28"/>
          <w:szCs w:val="28"/>
        </w:rPr>
      </w:pPr>
      <w:r>
        <w:rPr>
          <w:color w:val="000000" w:themeColor="text1"/>
          <w:sz w:val="28"/>
          <w:szCs w:val="28"/>
        </w:rPr>
        <w:t>независимая антикоррупционная экспертиза.</w:t>
      </w:r>
    </w:p>
    <w:p w14:paraId="33076ACF">
      <w:pPr>
        <w:pStyle w:val="17"/>
        <w:spacing w:line="360" w:lineRule="auto"/>
        <w:ind w:firstLine="709"/>
        <w:jc w:val="both"/>
        <w:rPr>
          <w:color w:val="000000" w:themeColor="text1"/>
          <w:sz w:val="28"/>
          <w:szCs w:val="28"/>
        </w:rPr>
      </w:pPr>
      <w:r>
        <w:rPr>
          <w:color w:val="000000" w:themeColor="text1"/>
          <w:sz w:val="28"/>
          <w:szCs w:val="28"/>
        </w:rPr>
        <w:t>2.2.</w:t>
      </w:r>
      <w:r>
        <w:rPr>
          <w:color w:val="000000" w:themeColor="text1"/>
          <w:sz w:val="28"/>
          <w:szCs w:val="28"/>
        </w:rPr>
        <w:tab/>
      </w:r>
      <w:r>
        <w:rPr>
          <w:color w:val="000000" w:themeColor="text1"/>
          <w:sz w:val="28"/>
          <w:szCs w:val="28"/>
        </w:rPr>
        <w:t xml:space="preserve">В соответствии с настоящим Порядком </w:t>
      </w:r>
      <w:r>
        <w:rPr>
          <w:color w:val="000000" w:themeColor="text1"/>
          <w:sz w:val="28"/>
          <w:szCs w:val="28"/>
          <w:highlight w:val="none"/>
          <w:lang w:val="ru-RU"/>
        </w:rPr>
        <w:t>специалист</w:t>
      </w:r>
      <w:r>
        <w:rPr>
          <w:rFonts w:hint="default"/>
          <w:color w:val="000000" w:themeColor="text1"/>
          <w:sz w:val="28"/>
          <w:szCs w:val="28"/>
          <w:highlight w:val="none"/>
          <w:lang w:val="ru-RU"/>
        </w:rPr>
        <w:t xml:space="preserve"> 1 категории</w:t>
      </w:r>
      <w:r>
        <w:rPr>
          <w:b/>
          <w:bCs/>
          <w:color w:val="000000" w:themeColor="text1"/>
          <w:sz w:val="28"/>
          <w:szCs w:val="28"/>
          <w:highlight w:val="none"/>
        </w:rPr>
        <w:t xml:space="preserve"> </w:t>
      </w:r>
      <w:r>
        <w:rPr>
          <w:color w:val="000000" w:themeColor="text1"/>
          <w:sz w:val="28"/>
          <w:szCs w:val="28"/>
          <w:highlight w:val="none"/>
        </w:rPr>
        <w:t>администрации (</w:t>
      </w:r>
      <w:r>
        <w:rPr>
          <w:color w:val="000000" w:themeColor="text1"/>
          <w:sz w:val="28"/>
          <w:szCs w:val="28"/>
        </w:rPr>
        <w:t>далее – ответственное лицо) проводит антикоррупционную экспертизу муниципальных нормативных правовых актов, предусмотренных абзацем третьим пункта 2.1 настоящего Порядка.</w:t>
      </w:r>
    </w:p>
    <w:p w14:paraId="676BC114">
      <w:pPr>
        <w:pStyle w:val="17"/>
        <w:spacing w:line="360" w:lineRule="auto"/>
        <w:ind w:firstLine="709"/>
        <w:jc w:val="both"/>
        <w:rPr>
          <w:color w:val="000000" w:themeColor="text1"/>
          <w:sz w:val="28"/>
          <w:szCs w:val="28"/>
        </w:rPr>
      </w:pPr>
      <w:r>
        <w:rPr>
          <w:color w:val="000000" w:themeColor="text1"/>
          <w:sz w:val="28"/>
          <w:szCs w:val="28"/>
        </w:rPr>
        <w:t xml:space="preserve">Проекты муниципальных нормативных правовых актов, предусмотренных абзацем вторым пункта 2.1 настоящего Порядка, направляются для проведения антикоррупционной экспертизы в администрацию муниципального образования Советский муниципальный район Кировской области (далее – администрация Советского района), в соответствии с заключенным соглашением. </w:t>
      </w:r>
    </w:p>
    <w:p w14:paraId="055A86C4">
      <w:pPr>
        <w:autoSpaceDE w:val="0"/>
        <w:autoSpaceDN w:val="0"/>
        <w:adjustRightInd w:val="0"/>
        <w:spacing w:line="360" w:lineRule="auto"/>
        <w:ind w:firstLine="709"/>
        <w:jc w:val="both"/>
        <w:rPr>
          <w:bCs/>
          <w:color w:val="000000" w:themeColor="text1"/>
          <w:sz w:val="28"/>
          <w:szCs w:val="28"/>
        </w:rPr>
      </w:pPr>
      <w:r>
        <w:rPr>
          <w:bCs/>
          <w:color w:val="000000" w:themeColor="text1"/>
          <w:sz w:val="28"/>
          <w:szCs w:val="28"/>
        </w:rPr>
        <w:t xml:space="preserve">2.3. Поступившие на антикоррупционную экспертизу </w:t>
      </w:r>
      <w:r>
        <w:rPr>
          <w:color w:val="000000" w:themeColor="text1"/>
          <w:sz w:val="28"/>
          <w:szCs w:val="28"/>
        </w:rPr>
        <w:t xml:space="preserve">муниципальные нормативные правовые акты </w:t>
      </w:r>
      <w:r>
        <w:rPr>
          <w:bCs/>
          <w:color w:val="000000" w:themeColor="text1"/>
          <w:sz w:val="28"/>
          <w:szCs w:val="28"/>
        </w:rPr>
        <w:t>в день поступления регистрируются о</w:t>
      </w:r>
      <w:r>
        <w:rPr>
          <w:color w:val="000000" w:themeColor="text1"/>
          <w:sz w:val="28"/>
          <w:szCs w:val="28"/>
        </w:rPr>
        <w:t xml:space="preserve">тветственным лицом </w:t>
      </w:r>
      <w:r>
        <w:rPr>
          <w:bCs/>
          <w:color w:val="000000" w:themeColor="text1"/>
          <w:sz w:val="28"/>
          <w:szCs w:val="28"/>
        </w:rPr>
        <w:t>в журнале регистрации нормативных правовых актов, поступивших на антикоррупционную экспертизу (далее – журнал), согласно приложению. Журнал ведется на бумажном носителе или в электронном виде.</w:t>
      </w:r>
    </w:p>
    <w:p w14:paraId="308424EF">
      <w:pPr>
        <w:rPr>
          <w:color w:val="000000" w:themeColor="text1"/>
          <w:sz w:val="28"/>
          <w:szCs w:val="28"/>
        </w:rPr>
      </w:pPr>
      <w:bookmarkStart w:id="0" w:name="_GoBack"/>
      <w:bookmarkEnd w:id="0"/>
    </w:p>
    <w:p w14:paraId="13ED4912">
      <w:pPr>
        <w:pStyle w:val="17"/>
        <w:numPr>
          <w:ilvl w:val="0"/>
          <w:numId w:val="3"/>
        </w:numPr>
        <w:jc w:val="both"/>
        <w:rPr>
          <w:b/>
          <w:color w:val="000000" w:themeColor="text1"/>
          <w:sz w:val="28"/>
          <w:szCs w:val="28"/>
        </w:rPr>
      </w:pPr>
      <w:r>
        <w:rPr>
          <w:b/>
          <w:color w:val="000000" w:themeColor="text1"/>
          <w:sz w:val="28"/>
          <w:szCs w:val="28"/>
        </w:rPr>
        <w:t>Порядок проведения антикоррупционной экспертизы проектов муниципальных нормативных правовых актов</w:t>
      </w:r>
    </w:p>
    <w:p w14:paraId="154D38DA">
      <w:pPr>
        <w:pStyle w:val="17"/>
        <w:ind w:left="1072"/>
        <w:jc w:val="both"/>
        <w:rPr>
          <w:b/>
          <w:color w:val="000000" w:themeColor="text1"/>
          <w:sz w:val="28"/>
          <w:szCs w:val="28"/>
        </w:rPr>
      </w:pPr>
    </w:p>
    <w:p w14:paraId="4E803680">
      <w:pPr>
        <w:pStyle w:val="17"/>
        <w:spacing w:line="360" w:lineRule="auto"/>
        <w:ind w:firstLine="709"/>
        <w:jc w:val="both"/>
        <w:rPr>
          <w:color w:val="000000" w:themeColor="text1"/>
          <w:sz w:val="28"/>
          <w:szCs w:val="28"/>
        </w:rPr>
      </w:pPr>
      <w:r>
        <w:rPr>
          <w:color w:val="000000" w:themeColor="text1"/>
          <w:sz w:val="28"/>
          <w:szCs w:val="28"/>
        </w:rPr>
        <w:t>3.1. Проекты муниципальных нормативных правовых актов для проведения антикоррупционной экспертизы направляются ответственным лицом в администрацию Советского района не позднее, чем за 10 рабочих дней до дня их планируемого принятия.</w:t>
      </w:r>
    </w:p>
    <w:p w14:paraId="6C965D94">
      <w:pPr>
        <w:pStyle w:val="17"/>
        <w:spacing w:line="360" w:lineRule="auto"/>
        <w:ind w:firstLine="709"/>
        <w:jc w:val="both"/>
        <w:rPr>
          <w:color w:val="000000" w:themeColor="text1"/>
          <w:sz w:val="28"/>
          <w:szCs w:val="28"/>
        </w:rPr>
      </w:pPr>
      <w:r>
        <w:rPr>
          <w:color w:val="000000" w:themeColor="text1"/>
          <w:sz w:val="28"/>
          <w:szCs w:val="28"/>
        </w:rPr>
        <w:t>3.2. При поступлении из администрации Советского района заключения по результатам антикоррупционной экспертизы с выводами о наличии в проекте признаков коррупциогенности, разработчик проекта муниципального нормативного правового акта, получив заключение по результатам антикоррупционной экспертизы подготовленного им проекта муниципального нормативного правового акта, не позднее 5 рабочих дней со дня его получения:</w:t>
      </w:r>
    </w:p>
    <w:p w14:paraId="0A144BD8">
      <w:pPr>
        <w:pStyle w:val="17"/>
        <w:spacing w:line="360" w:lineRule="auto"/>
        <w:ind w:firstLine="709"/>
        <w:jc w:val="both"/>
        <w:rPr>
          <w:color w:val="000000" w:themeColor="text1"/>
          <w:sz w:val="28"/>
          <w:szCs w:val="28"/>
        </w:rPr>
      </w:pPr>
      <w:r>
        <w:rPr>
          <w:color w:val="000000" w:themeColor="text1"/>
          <w:sz w:val="28"/>
          <w:szCs w:val="28"/>
        </w:rPr>
        <w:t>3.2.1. Вносит изменения в проект муниципального нормативного правового акта с учетом заключения по результатам антикоррупционной экспертизы и направляет доработанный проект муниципального нормативного правового акта на повторную антикоррупционную экспертизу.</w:t>
      </w:r>
    </w:p>
    <w:p w14:paraId="6E9718B3">
      <w:pPr>
        <w:pStyle w:val="17"/>
        <w:spacing w:line="360" w:lineRule="auto"/>
        <w:ind w:firstLine="709"/>
        <w:jc w:val="both"/>
        <w:rPr>
          <w:color w:val="000000" w:themeColor="text1"/>
          <w:sz w:val="28"/>
          <w:szCs w:val="28"/>
        </w:rPr>
      </w:pPr>
      <w:r>
        <w:rPr>
          <w:color w:val="000000" w:themeColor="text1"/>
          <w:sz w:val="28"/>
          <w:szCs w:val="28"/>
        </w:rPr>
        <w:t>3.2.2. Принимает решение об отзыве проекта муниципального нормативного правового акта.</w:t>
      </w:r>
    </w:p>
    <w:p w14:paraId="467D963D">
      <w:pPr>
        <w:pStyle w:val="17"/>
        <w:spacing w:line="360" w:lineRule="auto"/>
        <w:ind w:firstLine="709"/>
        <w:jc w:val="both"/>
        <w:rPr>
          <w:color w:val="000000" w:themeColor="text1"/>
          <w:sz w:val="28"/>
          <w:szCs w:val="28"/>
        </w:rPr>
      </w:pPr>
    </w:p>
    <w:p w14:paraId="0F349AF9">
      <w:pPr>
        <w:pStyle w:val="17"/>
        <w:numPr>
          <w:ilvl w:val="0"/>
          <w:numId w:val="3"/>
        </w:numPr>
        <w:jc w:val="both"/>
        <w:rPr>
          <w:b/>
          <w:color w:val="000000" w:themeColor="text1"/>
          <w:sz w:val="28"/>
          <w:szCs w:val="28"/>
        </w:rPr>
      </w:pPr>
      <w:r>
        <w:rPr>
          <w:b/>
          <w:color w:val="000000" w:themeColor="text1"/>
          <w:sz w:val="28"/>
          <w:szCs w:val="28"/>
        </w:rPr>
        <w:t>Порядок проведения антикоррупционной экспертизы муниципальных нормативных правовых актов</w:t>
      </w:r>
    </w:p>
    <w:p w14:paraId="3A522EBC">
      <w:pPr>
        <w:pStyle w:val="17"/>
        <w:ind w:firstLine="709"/>
        <w:jc w:val="both"/>
        <w:rPr>
          <w:b/>
          <w:color w:val="000000" w:themeColor="text1"/>
          <w:sz w:val="28"/>
          <w:szCs w:val="28"/>
        </w:rPr>
      </w:pPr>
    </w:p>
    <w:p w14:paraId="78266397">
      <w:pPr>
        <w:pStyle w:val="17"/>
        <w:spacing w:line="360" w:lineRule="auto"/>
        <w:ind w:firstLine="709"/>
        <w:jc w:val="both"/>
        <w:rPr>
          <w:color w:val="000000" w:themeColor="text1"/>
          <w:sz w:val="28"/>
          <w:szCs w:val="28"/>
        </w:rPr>
      </w:pPr>
      <w:r>
        <w:rPr>
          <w:color w:val="000000" w:themeColor="text1"/>
          <w:sz w:val="28"/>
          <w:szCs w:val="28"/>
          <w:shd w:val="clear" w:color="auto" w:fill="FFFFFF" w:themeFill="background1"/>
        </w:rPr>
        <w:t xml:space="preserve">4.1. </w:t>
      </w:r>
      <w:r>
        <w:rPr>
          <w:color w:val="000000" w:themeColor="text1"/>
          <w:sz w:val="28"/>
          <w:szCs w:val="28"/>
        </w:rPr>
        <w:t xml:space="preserve">Муниципальные служащие администрации в соответствии со своей компетенцией осуществляют проверку принятых администрацией муниципальных нормативных правовых актов при мониторинге их применения для выявления в них коррупциогенных факторов, положений, способствующих созданию условий для проявления коррупции, согласно Методике. </w:t>
      </w:r>
    </w:p>
    <w:p w14:paraId="6D647770">
      <w:pPr>
        <w:pStyle w:val="17"/>
        <w:spacing w:line="360" w:lineRule="auto"/>
        <w:ind w:firstLine="709"/>
        <w:jc w:val="both"/>
        <w:rPr>
          <w:color w:val="000000" w:themeColor="text1"/>
          <w:sz w:val="28"/>
          <w:szCs w:val="28"/>
        </w:rPr>
      </w:pPr>
      <w:r>
        <w:rPr>
          <w:color w:val="000000" w:themeColor="text1"/>
          <w:sz w:val="28"/>
          <w:szCs w:val="28"/>
        </w:rPr>
        <w:t>4.2. В случае обнаружения в муниципальном нормативном правовом а</w:t>
      </w:r>
      <w:r>
        <w:rPr>
          <w:color w:val="000000" w:themeColor="text1"/>
          <w:sz w:val="28"/>
          <w:szCs w:val="28"/>
          <w:lang w:val="ru-RU"/>
        </w:rPr>
        <w:t>кте</w:t>
      </w:r>
      <w:r>
        <w:rPr>
          <w:rFonts w:hint="default"/>
          <w:color w:val="000000" w:themeColor="text1"/>
          <w:sz w:val="28"/>
          <w:szCs w:val="28"/>
          <w:lang w:val="ru-RU"/>
        </w:rPr>
        <w:t xml:space="preserve"> </w:t>
      </w:r>
      <w:r>
        <w:rPr>
          <w:color w:val="000000" w:themeColor="text1"/>
          <w:sz w:val="28"/>
          <w:szCs w:val="28"/>
        </w:rPr>
        <w:t>коррупциогенных факторов, положений, способствующих созданию условий для проявления коррупции, муниципальный нормативный правовой акт с мотивированным заключением направляется не позднее 3-х рабочих дней со дня выявления указанных факторов, положений ответственному лицу на антикоррупционную экспертизу.</w:t>
      </w:r>
    </w:p>
    <w:p w14:paraId="5B740CED">
      <w:pPr>
        <w:pStyle w:val="17"/>
        <w:spacing w:line="360" w:lineRule="auto"/>
        <w:ind w:firstLine="709"/>
        <w:jc w:val="both"/>
        <w:rPr>
          <w:color w:val="000000" w:themeColor="text1"/>
          <w:sz w:val="28"/>
          <w:szCs w:val="28"/>
        </w:rPr>
      </w:pPr>
      <w:r>
        <w:rPr>
          <w:color w:val="000000" w:themeColor="text1"/>
          <w:sz w:val="28"/>
          <w:szCs w:val="28"/>
        </w:rPr>
        <w:t>4.3.</w:t>
      </w:r>
      <w:r>
        <w:rPr>
          <w:color w:val="000000" w:themeColor="text1"/>
          <w:sz w:val="28"/>
          <w:szCs w:val="28"/>
        </w:rPr>
        <w:tab/>
      </w:r>
      <w:r>
        <w:rPr>
          <w:color w:val="000000" w:themeColor="text1"/>
          <w:sz w:val="28"/>
          <w:szCs w:val="28"/>
        </w:rPr>
        <w:t>Срок проведения антикоррупционной экспертизы муниципального нормативного правового акта составляет 10 рабочих дней со дня поступления муниципального нормативного правового акта с мотивированным заключением ответственному лицу.</w:t>
      </w:r>
    </w:p>
    <w:p w14:paraId="0CE18FAC">
      <w:pPr>
        <w:pStyle w:val="17"/>
        <w:spacing w:line="360" w:lineRule="auto"/>
        <w:ind w:firstLine="709"/>
        <w:jc w:val="both"/>
        <w:rPr>
          <w:color w:val="000000" w:themeColor="text1"/>
          <w:sz w:val="28"/>
          <w:szCs w:val="28"/>
        </w:rPr>
      </w:pPr>
      <w:r>
        <w:rPr>
          <w:color w:val="000000" w:themeColor="text1"/>
          <w:sz w:val="28"/>
          <w:szCs w:val="28"/>
        </w:rPr>
        <w:t>4.3.1. В случае выявления в муниципальном нормативном правовом акте коррупциогенных факторов, положений, способствующих созданию условий для проявления коррупции, ответственным лицом осуществляется подготовка заключения по результатам антикоррупционной экспертизы.</w:t>
      </w:r>
    </w:p>
    <w:p w14:paraId="5C36B772">
      <w:pPr>
        <w:pStyle w:val="17"/>
        <w:spacing w:line="360" w:lineRule="auto"/>
        <w:ind w:firstLine="709"/>
        <w:jc w:val="both"/>
        <w:rPr>
          <w:color w:val="000000" w:themeColor="text1"/>
          <w:sz w:val="28"/>
          <w:szCs w:val="28"/>
        </w:rPr>
      </w:pPr>
      <w:r>
        <w:rPr>
          <w:color w:val="000000" w:themeColor="text1"/>
          <w:sz w:val="28"/>
          <w:szCs w:val="28"/>
        </w:rPr>
        <w:t>4.3.2.Заключение по результатам антикоррупционной экспертизы должно содержать:</w:t>
      </w:r>
    </w:p>
    <w:p w14:paraId="1C8D5A4B">
      <w:pPr>
        <w:pStyle w:val="17"/>
        <w:spacing w:line="360" w:lineRule="auto"/>
        <w:ind w:firstLine="709"/>
        <w:jc w:val="both"/>
        <w:rPr>
          <w:color w:val="000000" w:themeColor="text1"/>
          <w:sz w:val="28"/>
          <w:szCs w:val="28"/>
        </w:rPr>
      </w:pPr>
      <w:r>
        <w:rPr>
          <w:color w:val="000000" w:themeColor="text1"/>
          <w:sz w:val="28"/>
          <w:szCs w:val="28"/>
        </w:rPr>
        <w:t>4.3.3. Наименование и реквизиты муниципального нормативного правового акта, представленного на антикоррупционную экспертизу.</w:t>
      </w:r>
    </w:p>
    <w:p w14:paraId="7A262365">
      <w:pPr>
        <w:pStyle w:val="17"/>
        <w:spacing w:line="360" w:lineRule="auto"/>
        <w:ind w:firstLine="709"/>
        <w:jc w:val="both"/>
        <w:rPr>
          <w:color w:val="000000" w:themeColor="text1"/>
          <w:sz w:val="28"/>
          <w:szCs w:val="28"/>
        </w:rPr>
      </w:pPr>
      <w:r>
        <w:rPr>
          <w:color w:val="000000" w:themeColor="text1"/>
          <w:sz w:val="28"/>
          <w:szCs w:val="28"/>
        </w:rPr>
        <w:t>4.3.4. Основания для проведения антикоррупционной экспертизы.</w:t>
      </w:r>
    </w:p>
    <w:p w14:paraId="5DE1F78B">
      <w:pPr>
        <w:pStyle w:val="17"/>
        <w:spacing w:line="360" w:lineRule="auto"/>
        <w:ind w:firstLine="709"/>
        <w:jc w:val="both"/>
        <w:rPr>
          <w:color w:val="000000" w:themeColor="text1"/>
          <w:sz w:val="28"/>
          <w:szCs w:val="28"/>
        </w:rPr>
      </w:pPr>
      <w:r>
        <w:rPr>
          <w:color w:val="000000" w:themeColor="text1"/>
          <w:sz w:val="28"/>
          <w:szCs w:val="28"/>
        </w:rPr>
        <w:t>4.3.5. Наименование и реквизиты нормативных правовых актов, которые использовались для выявления коррупциогенных норм и положений права, определений судов, научной литературы и т.п.</w:t>
      </w:r>
    </w:p>
    <w:p w14:paraId="08ADA5DB">
      <w:pPr>
        <w:pStyle w:val="17"/>
        <w:spacing w:line="360" w:lineRule="auto"/>
        <w:ind w:firstLine="709"/>
        <w:jc w:val="both"/>
        <w:rPr>
          <w:color w:val="000000" w:themeColor="text1"/>
          <w:sz w:val="28"/>
          <w:szCs w:val="28"/>
        </w:rPr>
      </w:pPr>
      <w:r>
        <w:rPr>
          <w:color w:val="000000" w:themeColor="text1"/>
          <w:sz w:val="28"/>
          <w:szCs w:val="28"/>
        </w:rPr>
        <w:t>4.3.6. Конкретные положения муниципального нормативного правового акта, содержащие коррупциогенные нормы, с указанием структурных единиц муниципального нормативного правового акта (разделов, глав, статей, частей, пунктов, подпунктов, абзацев)и соответствующих коррупциогенных факторов.</w:t>
      </w:r>
    </w:p>
    <w:p w14:paraId="6318B09A">
      <w:pPr>
        <w:pStyle w:val="17"/>
        <w:spacing w:line="360" w:lineRule="auto"/>
        <w:ind w:firstLine="709"/>
        <w:jc w:val="both"/>
        <w:rPr>
          <w:color w:val="000000" w:themeColor="text1"/>
          <w:sz w:val="28"/>
          <w:szCs w:val="28"/>
        </w:rPr>
      </w:pPr>
      <w:r>
        <w:rPr>
          <w:color w:val="000000" w:themeColor="text1"/>
          <w:sz w:val="28"/>
          <w:szCs w:val="28"/>
        </w:rPr>
        <w:t>Выявленные при проведении антикоррупционной экспертизы положения, которые не относятся к коррупциогенным факторам, но могут способствовать созданию условий для проявления коррупции, также указываются в заключении по результатам антикоррупционной экспертизы.</w:t>
      </w:r>
    </w:p>
    <w:p w14:paraId="6D2A3078">
      <w:pPr>
        <w:pStyle w:val="17"/>
        <w:spacing w:line="360" w:lineRule="auto"/>
        <w:ind w:firstLine="709"/>
        <w:jc w:val="both"/>
        <w:rPr>
          <w:color w:val="000000" w:themeColor="text1"/>
          <w:sz w:val="28"/>
          <w:szCs w:val="28"/>
        </w:rPr>
      </w:pPr>
      <w:r>
        <w:rPr>
          <w:color w:val="000000" w:themeColor="text1"/>
          <w:sz w:val="28"/>
          <w:szCs w:val="28"/>
        </w:rPr>
        <w:t>4.3.7. Рекомендации по изменению формулировок правовых норм либо предложения по исключению отдельных норм и положений для устранения коррупциогенности муниципального нормативного правового акта.</w:t>
      </w:r>
    </w:p>
    <w:p w14:paraId="5C144B93">
      <w:pPr>
        <w:pStyle w:val="17"/>
        <w:spacing w:line="360" w:lineRule="auto"/>
        <w:ind w:firstLine="709"/>
        <w:jc w:val="both"/>
        <w:rPr>
          <w:color w:val="000000" w:themeColor="text1"/>
          <w:sz w:val="28"/>
          <w:szCs w:val="28"/>
        </w:rPr>
      </w:pPr>
      <w:r>
        <w:rPr>
          <w:color w:val="000000" w:themeColor="text1"/>
          <w:sz w:val="28"/>
          <w:szCs w:val="28"/>
        </w:rPr>
        <w:t>В заключении по результатам антикоррупционной экспертизы могут быть отражены возможные негативные последствия сохранения в документе выявленных коррупциогенных факторов.</w:t>
      </w:r>
    </w:p>
    <w:p w14:paraId="711B428B">
      <w:pPr>
        <w:pStyle w:val="17"/>
        <w:spacing w:line="360" w:lineRule="auto"/>
        <w:ind w:firstLine="709"/>
        <w:jc w:val="both"/>
        <w:rPr>
          <w:color w:val="000000" w:themeColor="text1"/>
          <w:sz w:val="28"/>
          <w:szCs w:val="28"/>
        </w:rPr>
      </w:pPr>
      <w:r>
        <w:rPr>
          <w:color w:val="000000" w:themeColor="text1"/>
          <w:sz w:val="28"/>
          <w:szCs w:val="28"/>
        </w:rPr>
        <w:t>4.3.8. Вывод о наличии в проекте муниципального нормативного правового акта признаков коррупциогенности.</w:t>
      </w:r>
    </w:p>
    <w:p w14:paraId="0CEF745D">
      <w:pPr>
        <w:pStyle w:val="17"/>
        <w:spacing w:line="360" w:lineRule="auto"/>
        <w:ind w:firstLine="709"/>
        <w:jc w:val="both"/>
        <w:rPr>
          <w:color w:val="000000" w:themeColor="text1"/>
          <w:sz w:val="28"/>
          <w:szCs w:val="28"/>
        </w:rPr>
      </w:pPr>
      <w:r>
        <w:rPr>
          <w:color w:val="000000" w:themeColor="text1"/>
          <w:sz w:val="28"/>
          <w:szCs w:val="28"/>
        </w:rPr>
        <w:t>4.4. На основании заключения по результатам антикоррупционной экспертизы, подготовленного ответственным лицом, разработчик муниципального нормативного правового акта не позднее 10 рабочих дней со дня получения заключении по результатам антикоррупционной экспертизы обеспечивает подготовку проекта муниципального нормативного правового акта администрации о внесении изменений в муниципальный нормативный правовой акт либо о его отмене (признании утратившим силу).</w:t>
      </w:r>
    </w:p>
    <w:p w14:paraId="63C574A8">
      <w:pPr>
        <w:pStyle w:val="17"/>
        <w:spacing w:line="360" w:lineRule="auto"/>
        <w:ind w:firstLine="709"/>
        <w:jc w:val="both"/>
        <w:rPr>
          <w:color w:val="000000" w:themeColor="text1"/>
          <w:sz w:val="28"/>
          <w:szCs w:val="28"/>
        </w:rPr>
      </w:pPr>
    </w:p>
    <w:p w14:paraId="4A75DC92">
      <w:pPr>
        <w:pStyle w:val="17"/>
        <w:spacing w:line="360" w:lineRule="auto"/>
        <w:ind w:firstLine="709"/>
        <w:jc w:val="both"/>
        <w:rPr>
          <w:b/>
          <w:color w:val="000000" w:themeColor="text1"/>
          <w:sz w:val="28"/>
          <w:szCs w:val="28"/>
        </w:rPr>
      </w:pPr>
      <w:r>
        <w:rPr>
          <w:b/>
          <w:color w:val="000000" w:themeColor="text1"/>
          <w:sz w:val="28"/>
          <w:szCs w:val="28"/>
        </w:rPr>
        <w:t>5. Независимая антикоррупционная экспертиза</w:t>
      </w:r>
    </w:p>
    <w:p w14:paraId="497629A9">
      <w:pPr>
        <w:pStyle w:val="17"/>
        <w:ind w:firstLine="709"/>
        <w:jc w:val="both"/>
        <w:rPr>
          <w:color w:val="000000" w:themeColor="text1"/>
          <w:sz w:val="28"/>
          <w:szCs w:val="28"/>
        </w:rPr>
      </w:pPr>
    </w:p>
    <w:p w14:paraId="59D5B0EC">
      <w:pPr>
        <w:pStyle w:val="17"/>
        <w:spacing w:line="360" w:lineRule="auto"/>
        <w:ind w:firstLine="709"/>
        <w:jc w:val="both"/>
        <w:rPr>
          <w:color w:val="000000" w:themeColor="text1"/>
          <w:sz w:val="28"/>
          <w:szCs w:val="28"/>
        </w:rPr>
      </w:pPr>
      <w:r>
        <w:rPr>
          <w:color w:val="000000" w:themeColor="text1"/>
          <w:sz w:val="28"/>
          <w:szCs w:val="28"/>
        </w:rPr>
        <w:t>5.1.</w:t>
      </w:r>
      <w:r>
        <w:rPr>
          <w:color w:val="000000" w:themeColor="text1"/>
          <w:sz w:val="28"/>
          <w:szCs w:val="28"/>
        </w:rPr>
        <w:tab/>
      </w:r>
      <w:r>
        <w:rPr>
          <w:color w:val="000000" w:themeColor="text1"/>
          <w:sz w:val="28"/>
          <w:szCs w:val="28"/>
        </w:rPr>
        <w:t>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w:t>
      </w:r>
    </w:p>
    <w:p w14:paraId="59A3FAF7">
      <w:pPr>
        <w:pStyle w:val="17"/>
        <w:spacing w:line="360" w:lineRule="auto"/>
        <w:ind w:firstLine="709"/>
        <w:jc w:val="both"/>
        <w:rPr>
          <w:color w:val="000000" w:themeColor="text1"/>
          <w:sz w:val="28"/>
          <w:szCs w:val="28"/>
        </w:rPr>
      </w:pPr>
      <w:r>
        <w:rPr>
          <w:color w:val="000000" w:themeColor="text1"/>
          <w:sz w:val="28"/>
          <w:szCs w:val="28"/>
        </w:rPr>
        <w:t>5.2. Для проведения независимой антикоррупционной экспертизы администрация размещает проект муниципального нормативного правового акта на официальном сайте администрации в информационно-телекоммуникационной сети «Интернет».</w:t>
      </w:r>
    </w:p>
    <w:p w14:paraId="3D3FB823">
      <w:pPr>
        <w:pStyle w:val="17"/>
        <w:spacing w:line="360" w:lineRule="auto"/>
        <w:ind w:firstLine="709"/>
        <w:jc w:val="both"/>
        <w:rPr>
          <w:color w:val="000000" w:themeColor="text1"/>
          <w:sz w:val="28"/>
          <w:szCs w:val="28"/>
        </w:rPr>
      </w:pPr>
      <w:r>
        <w:rPr>
          <w:color w:val="000000" w:themeColor="text1"/>
          <w:sz w:val="28"/>
          <w:szCs w:val="28"/>
        </w:rPr>
        <w:t>Одновременно с текстом проекта муниципального нормативного правового акта на официальном сайте в информационно-телекоммуникационной сети «Интернет» должна быть размещена следующая информация:</w:t>
      </w:r>
    </w:p>
    <w:p w14:paraId="369416EF">
      <w:pPr>
        <w:pStyle w:val="17"/>
        <w:spacing w:line="360" w:lineRule="auto"/>
        <w:ind w:firstLine="709"/>
        <w:jc w:val="both"/>
        <w:rPr>
          <w:color w:val="000000" w:themeColor="text1"/>
          <w:sz w:val="28"/>
          <w:szCs w:val="28"/>
        </w:rPr>
      </w:pPr>
      <w:r>
        <w:rPr>
          <w:color w:val="000000" w:themeColor="text1"/>
          <w:sz w:val="28"/>
          <w:szCs w:val="28"/>
        </w:rPr>
        <w:t>наименование разработчика проекта муниципального нормативного правового акта;</w:t>
      </w:r>
    </w:p>
    <w:p w14:paraId="5F163170">
      <w:pPr>
        <w:pStyle w:val="17"/>
        <w:spacing w:line="360" w:lineRule="auto"/>
        <w:ind w:firstLine="709"/>
        <w:jc w:val="both"/>
        <w:rPr>
          <w:color w:val="000000" w:themeColor="text1"/>
          <w:sz w:val="28"/>
          <w:szCs w:val="28"/>
        </w:rPr>
      </w:pPr>
      <w:r>
        <w:rPr>
          <w:color w:val="000000" w:themeColor="text1"/>
          <w:sz w:val="28"/>
          <w:szCs w:val="28"/>
        </w:rPr>
        <w:t>даты начала и окончания приема заключений по результатам независимой антикоррупционной экспертизы;</w:t>
      </w:r>
    </w:p>
    <w:p w14:paraId="3743C8CD">
      <w:pPr>
        <w:pStyle w:val="17"/>
        <w:spacing w:line="360" w:lineRule="auto"/>
        <w:ind w:firstLine="709"/>
        <w:jc w:val="both"/>
        <w:rPr>
          <w:color w:val="000000" w:themeColor="text1"/>
          <w:sz w:val="28"/>
          <w:szCs w:val="28"/>
        </w:rPr>
      </w:pPr>
      <w:r>
        <w:rPr>
          <w:color w:val="000000" w:themeColor="text1"/>
          <w:sz w:val="28"/>
          <w:szCs w:val="28"/>
        </w:rPr>
        <w:t>почтовый адрес и адрес электронной почты для направления заключений.</w:t>
      </w:r>
    </w:p>
    <w:p w14:paraId="095015C2">
      <w:pPr>
        <w:pStyle w:val="17"/>
        <w:spacing w:line="360" w:lineRule="auto"/>
        <w:ind w:firstLine="709"/>
        <w:jc w:val="both"/>
        <w:rPr>
          <w:color w:val="000000" w:themeColor="text1"/>
          <w:sz w:val="28"/>
          <w:szCs w:val="28"/>
        </w:rPr>
      </w:pPr>
      <w:r>
        <w:rPr>
          <w:color w:val="000000" w:themeColor="text1"/>
          <w:sz w:val="28"/>
          <w:szCs w:val="28"/>
        </w:rPr>
        <w:t xml:space="preserve">Срок, устанавливаемый для проведения независимой антикоррупционной экспертизы, не может быть менее </w:t>
      </w:r>
      <w:r>
        <w:rPr>
          <w:rFonts w:hint="default"/>
          <w:color w:val="000000" w:themeColor="text1"/>
          <w:sz w:val="28"/>
          <w:szCs w:val="28"/>
          <w:lang w:val="ru-RU"/>
        </w:rPr>
        <w:t>7</w:t>
      </w:r>
      <w:r>
        <w:rPr>
          <w:color w:val="000000" w:themeColor="text1"/>
          <w:sz w:val="28"/>
          <w:szCs w:val="28"/>
        </w:rPr>
        <w:t xml:space="preserve"> календарных дней и исчисляется со дня размещения проекта муниципального нормативного правового акта на официальном сайте в информационно-телекоммуникационной сети «Интернет».</w:t>
      </w:r>
    </w:p>
    <w:p w14:paraId="3400827D">
      <w:pPr>
        <w:pStyle w:val="17"/>
        <w:spacing w:line="360" w:lineRule="auto"/>
        <w:ind w:firstLine="709"/>
        <w:jc w:val="both"/>
        <w:rPr>
          <w:rFonts w:hint="default" w:ascii="Times New Roman" w:hAnsi="Times New Roman" w:cs="Times New Roman"/>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rPr>
        <w:t>(Абзац шестой пункта 5.2 в редакции постановления от</w:t>
      </w:r>
      <w:r>
        <w:rPr>
          <w:rFonts w:hint="default" w:ascii="Times New Roman" w:hAnsi="Times New Roman" w:eastAsia="Helvetica" w:cs="Times New Roman"/>
          <w:i w:val="0"/>
          <w:iCs w:val="0"/>
          <w:caps w:val="0"/>
          <w:color w:val="auto"/>
          <w:spacing w:val="0"/>
          <w:sz w:val="24"/>
          <w:szCs w:val="24"/>
          <w:shd w:val="clear" w:fill="FFFFFF"/>
          <w:lang w:val="ru-RU"/>
        </w:rPr>
        <w:t xml:space="preserve"> 17.11.2025 № 44).</w:t>
      </w:r>
    </w:p>
    <w:p w14:paraId="156A5D90">
      <w:pPr>
        <w:pStyle w:val="17"/>
        <w:spacing w:line="360" w:lineRule="auto"/>
        <w:ind w:firstLine="709"/>
        <w:jc w:val="both"/>
        <w:rPr>
          <w:color w:val="000000" w:themeColor="text1"/>
          <w:sz w:val="28"/>
          <w:szCs w:val="28"/>
        </w:rPr>
      </w:pPr>
      <w:r>
        <w:rPr>
          <w:color w:val="000000" w:themeColor="text1"/>
          <w:sz w:val="28"/>
          <w:szCs w:val="28"/>
        </w:rPr>
        <w:t>5.3. Результаты независимой антикоррупционной экспертизы отражаются в заключении.</w:t>
      </w:r>
    </w:p>
    <w:p w14:paraId="6A50446A">
      <w:pPr>
        <w:pStyle w:val="17"/>
        <w:spacing w:line="360" w:lineRule="auto"/>
        <w:ind w:firstLine="709"/>
        <w:jc w:val="both"/>
        <w:rPr>
          <w:color w:val="000000" w:themeColor="text1"/>
          <w:sz w:val="28"/>
          <w:szCs w:val="28"/>
        </w:rPr>
      </w:pPr>
      <w:r>
        <w:rPr>
          <w:color w:val="000000" w:themeColor="text1"/>
          <w:sz w:val="28"/>
          <w:szCs w:val="28"/>
        </w:rPr>
        <w:t>5.4. Заключение по результатам независимой антикоррупционной экспертизы носит рекомендательный характер и подлежит обязательному рассмотрению администрацией в течение 30 календарных дней со дня его получения.</w:t>
      </w:r>
    </w:p>
    <w:p w14:paraId="48333DDF">
      <w:pPr>
        <w:pStyle w:val="17"/>
        <w:spacing w:line="360" w:lineRule="auto"/>
        <w:ind w:firstLine="708" w:firstLineChars="0"/>
        <w:jc w:val="both"/>
        <w:rPr>
          <w:color w:val="000000" w:themeColor="text1"/>
          <w:sz w:val="28"/>
          <w:szCs w:val="28"/>
        </w:rPr>
      </w:pPr>
      <w:r>
        <w:rPr>
          <w:color w:val="000000" w:themeColor="text1"/>
          <w:sz w:val="28"/>
          <w:szCs w:val="28"/>
        </w:rPr>
        <w:t xml:space="preserve">По результатам рассмотрения юридическому или физическому лицу, проводившему независимую антикоррупционную экспертизу, администрацией направляется мотивированный ответ (за исключением случаев, когда в заключении отсутствует </w:t>
      </w:r>
      <w:r>
        <w:rPr>
          <w:color w:val="000000" w:themeColor="text1"/>
          <w:sz w:val="28"/>
          <w:szCs w:val="28"/>
          <w:lang w:val="ru-RU"/>
        </w:rPr>
        <w:t>информация</w:t>
      </w:r>
      <w:r>
        <w:rPr>
          <w:rFonts w:hint="default"/>
          <w:color w:val="000000" w:themeColor="text1"/>
          <w:sz w:val="28"/>
          <w:szCs w:val="28"/>
          <w:lang w:val="ru-RU"/>
        </w:rPr>
        <w:t xml:space="preserve"> о выявленных коррупциогенных факторах или </w:t>
      </w:r>
      <w:r>
        <w:rPr>
          <w:color w:val="000000" w:themeColor="text1"/>
          <w:sz w:val="28"/>
          <w:szCs w:val="28"/>
        </w:rPr>
        <w:t>предложение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в муниципальном нормативном правовом акте</w:t>
      </w:r>
      <w:r>
        <w:rPr>
          <w:rFonts w:hint="default"/>
          <w:color w:val="000000" w:themeColor="text1"/>
          <w:sz w:val="28"/>
          <w:szCs w:val="28"/>
          <w:lang w:val="ru-RU"/>
        </w:rPr>
        <w:t xml:space="preserve"> </w:t>
      </w:r>
      <w:r>
        <w:rPr>
          <w:color w:val="000000" w:themeColor="text1"/>
          <w:sz w:val="28"/>
          <w:szCs w:val="28"/>
        </w:rPr>
        <w:t>или проекте муниципального нормативного правового акта коррупциогенным фактором.</w:t>
      </w:r>
    </w:p>
    <w:p w14:paraId="4B4A99BF">
      <w:pPr>
        <w:pStyle w:val="17"/>
        <w:spacing w:line="360" w:lineRule="auto"/>
        <w:ind w:firstLine="709"/>
        <w:jc w:val="both"/>
        <w:rPr>
          <w:rFonts w:hint="default" w:ascii="Times New Roman" w:hAnsi="Times New Roman" w:cs="Times New Roman"/>
          <w:color w:val="auto"/>
          <w:sz w:val="24"/>
          <w:szCs w:val="24"/>
          <w:lang w:val="ru-RU"/>
        </w:rPr>
      </w:pPr>
      <w:r>
        <w:rPr>
          <w:rFonts w:hint="default" w:ascii="Times New Roman" w:hAnsi="Times New Roman" w:eastAsia="Helvetica" w:cs="Times New Roman"/>
          <w:i w:val="0"/>
          <w:iCs w:val="0"/>
          <w:caps w:val="0"/>
          <w:color w:val="auto"/>
          <w:spacing w:val="0"/>
          <w:sz w:val="24"/>
          <w:szCs w:val="24"/>
          <w:shd w:val="clear" w:fill="FFFFFF"/>
        </w:rPr>
        <w:t xml:space="preserve">(Абзац </w:t>
      </w:r>
      <w:r>
        <w:rPr>
          <w:rFonts w:hint="default" w:eastAsia="Helvetica" w:cs="Times New Roman"/>
          <w:i w:val="0"/>
          <w:iCs w:val="0"/>
          <w:caps w:val="0"/>
          <w:color w:val="auto"/>
          <w:spacing w:val="0"/>
          <w:sz w:val="24"/>
          <w:szCs w:val="24"/>
          <w:shd w:val="clear" w:fill="FFFFFF"/>
          <w:lang w:val="ru-RU"/>
        </w:rPr>
        <w:t>второ</w:t>
      </w:r>
      <w:r>
        <w:rPr>
          <w:rFonts w:hint="default" w:ascii="Times New Roman" w:hAnsi="Times New Roman" w:eastAsia="Helvetica" w:cs="Times New Roman"/>
          <w:i w:val="0"/>
          <w:iCs w:val="0"/>
          <w:caps w:val="0"/>
          <w:color w:val="auto"/>
          <w:spacing w:val="0"/>
          <w:sz w:val="24"/>
          <w:szCs w:val="24"/>
          <w:shd w:val="clear" w:fill="FFFFFF"/>
        </w:rPr>
        <w:t>й пункта 5.</w:t>
      </w:r>
      <w:r>
        <w:rPr>
          <w:rFonts w:hint="default" w:eastAsia="Helvetica" w:cs="Times New Roman"/>
          <w:i w:val="0"/>
          <w:iCs w:val="0"/>
          <w:caps w:val="0"/>
          <w:color w:val="auto"/>
          <w:spacing w:val="0"/>
          <w:sz w:val="24"/>
          <w:szCs w:val="24"/>
          <w:shd w:val="clear" w:fill="FFFFFF"/>
          <w:lang w:val="ru-RU"/>
        </w:rPr>
        <w:t>4</w:t>
      </w:r>
      <w:r>
        <w:rPr>
          <w:rFonts w:hint="default" w:ascii="Times New Roman" w:hAnsi="Times New Roman" w:eastAsia="Helvetica" w:cs="Times New Roman"/>
          <w:i w:val="0"/>
          <w:iCs w:val="0"/>
          <w:caps w:val="0"/>
          <w:color w:val="auto"/>
          <w:spacing w:val="0"/>
          <w:sz w:val="24"/>
          <w:szCs w:val="24"/>
          <w:shd w:val="clear" w:fill="FFFFFF"/>
        </w:rPr>
        <w:t xml:space="preserve"> в редакции постановления от</w:t>
      </w:r>
      <w:r>
        <w:rPr>
          <w:rFonts w:hint="default" w:ascii="Times New Roman" w:hAnsi="Times New Roman" w:eastAsia="Helvetica" w:cs="Times New Roman"/>
          <w:i w:val="0"/>
          <w:iCs w:val="0"/>
          <w:caps w:val="0"/>
          <w:color w:val="auto"/>
          <w:spacing w:val="0"/>
          <w:sz w:val="24"/>
          <w:szCs w:val="24"/>
          <w:shd w:val="clear" w:fill="FFFFFF"/>
          <w:lang w:val="ru-RU"/>
        </w:rPr>
        <w:t xml:space="preserve"> 17.11.2025 № 44).</w:t>
      </w:r>
    </w:p>
    <w:p w14:paraId="013AD6EE">
      <w:pPr>
        <w:pStyle w:val="17"/>
        <w:spacing w:after="720" w:line="360" w:lineRule="auto"/>
        <w:jc w:val="center"/>
        <w:rPr>
          <w:sz w:val="28"/>
          <w:szCs w:val="28"/>
        </w:rPr>
      </w:pPr>
      <w:r>
        <w:rPr>
          <w:color w:val="000000" w:themeColor="text1"/>
          <w:sz w:val="28"/>
          <w:szCs w:val="28"/>
        </w:rPr>
        <w:t>_________</w:t>
      </w:r>
    </w:p>
    <w:p w14:paraId="5CE7BC74">
      <w:pPr>
        <w:autoSpaceDE w:val="0"/>
        <w:autoSpaceDN w:val="0"/>
        <w:adjustRightInd w:val="0"/>
        <w:ind w:firstLine="7797"/>
        <w:outlineLvl w:val="0"/>
        <w:rPr>
          <w:sz w:val="28"/>
          <w:szCs w:val="28"/>
        </w:rPr>
        <w:sectPr>
          <w:headerReference r:id="rId5" w:type="default"/>
          <w:footerReference r:id="rId6" w:type="default"/>
          <w:footnotePr>
            <w:numFmt w:val="chicago"/>
          </w:footnotePr>
          <w:pgSz w:w="11906" w:h="16838"/>
          <w:pgMar w:top="1134" w:right="850" w:bottom="1134" w:left="1701" w:header="709" w:footer="57" w:gutter="0"/>
          <w:cols w:space="708" w:num="1"/>
          <w:titlePg/>
          <w:docGrid w:linePitch="360" w:charSpace="0"/>
        </w:sectPr>
      </w:pPr>
    </w:p>
    <w:p w14:paraId="0A309147">
      <w:pPr>
        <w:autoSpaceDE w:val="0"/>
        <w:autoSpaceDN w:val="0"/>
        <w:adjustRightInd w:val="0"/>
        <w:ind w:right="-315" w:firstLine="11340"/>
        <w:outlineLvl w:val="0"/>
        <w:rPr>
          <w:rFonts w:eastAsiaTheme="minorHAnsi"/>
          <w:sz w:val="28"/>
          <w:szCs w:val="28"/>
          <w:lang w:eastAsia="en-US"/>
        </w:rPr>
      </w:pPr>
      <w:r>
        <w:rPr>
          <w:rFonts w:eastAsiaTheme="minorHAnsi"/>
          <w:sz w:val="28"/>
          <w:szCs w:val="28"/>
          <w:lang w:eastAsia="en-US"/>
        </w:rPr>
        <w:t>Приложение</w:t>
      </w:r>
    </w:p>
    <w:p w14:paraId="3FD58627">
      <w:pPr>
        <w:autoSpaceDE w:val="0"/>
        <w:autoSpaceDN w:val="0"/>
        <w:adjustRightInd w:val="0"/>
        <w:ind w:right="-315" w:firstLine="11340"/>
        <w:outlineLvl w:val="0"/>
        <w:rPr>
          <w:rFonts w:eastAsiaTheme="minorHAnsi"/>
          <w:sz w:val="28"/>
          <w:szCs w:val="28"/>
          <w:lang w:eastAsia="en-US"/>
        </w:rPr>
      </w:pPr>
    </w:p>
    <w:p w14:paraId="3BA28B6A">
      <w:pPr>
        <w:autoSpaceDE w:val="0"/>
        <w:autoSpaceDN w:val="0"/>
        <w:adjustRightInd w:val="0"/>
        <w:ind w:right="-315" w:firstLine="11340"/>
        <w:outlineLvl w:val="0"/>
        <w:rPr>
          <w:rFonts w:eastAsiaTheme="minorHAnsi"/>
          <w:sz w:val="28"/>
          <w:szCs w:val="28"/>
          <w:lang w:eastAsia="en-US"/>
        </w:rPr>
      </w:pPr>
      <w:r>
        <w:rPr>
          <w:rFonts w:eastAsiaTheme="minorHAnsi"/>
          <w:sz w:val="28"/>
          <w:szCs w:val="28"/>
          <w:lang w:eastAsia="en-US"/>
        </w:rPr>
        <w:t>к Порядку</w:t>
      </w:r>
    </w:p>
    <w:p w14:paraId="2D684CFA">
      <w:pPr>
        <w:autoSpaceDE w:val="0"/>
        <w:autoSpaceDN w:val="0"/>
        <w:adjustRightInd w:val="0"/>
        <w:spacing w:before="480"/>
        <w:jc w:val="center"/>
        <w:rPr>
          <w:rFonts w:eastAsiaTheme="minorHAnsi"/>
          <w:b/>
          <w:sz w:val="28"/>
          <w:szCs w:val="28"/>
          <w:lang w:eastAsia="en-US"/>
        </w:rPr>
      </w:pPr>
      <w:r>
        <w:rPr>
          <w:rFonts w:eastAsiaTheme="minorHAnsi"/>
          <w:b/>
          <w:sz w:val="28"/>
          <w:szCs w:val="28"/>
          <w:lang w:eastAsia="en-US"/>
        </w:rPr>
        <w:t>ЖУРНАЛ</w:t>
      </w:r>
    </w:p>
    <w:p w14:paraId="6A9A6359">
      <w:pPr>
        <w:autoSpaceDE w:val="0"/>
        <w:autoSpaceDN w:val="0"/>
        <w:adjustRightInd w:val="0"/>
        <w:jc w:val="center"/>
        <w:rPr>
          <w:rFonts w:eastAsiaTheme="minorHAnsi"/>
          <w:b/>
          <w:sz w:val="28"/>
          <w:szCs w:val="28"/>
          <w:lang w:eastAsia="en-US"/>
        </w:rPr>
      </w:pPr>
      <w:r>
        <w:rPr>
          <w:rFonts w:eastAsiaTheme="minorHAnsi"/>
          <w:b/>
          <w:sz w:val="28"/>
          <w:szCs w:val="28"/>
          <w:lang w:eastAsia="en-US"/>
        </w:rPr>
        <w:t>регистрации муниципальных нормативных правовых актов, поступивших на антикоррупционную экспертизу</w:t>
      </w:r>
    </w:p>
    <w:p w14:paraId="068DCF6E">
      <w:pPr>
        <w:autoSpaceDE w:val="0"/>
        <w:autoSpaceDN w:val="0"/>
        <w:adjustRightInd w:val="0"/>
        <w:jc w:val="both"/>
        <w:rPr>
          <w:rFonts w:eastAsiaTheme="minorHAnsi"/>
          <w:lang w:eastAsia="en-US"/>
        </w:rPr>
      </w:pPr>
    </w:p>
    <w:tbl>
      <w:tblPr>
        <w:tblStyle w:val="3"/>
        <w:tblW w:w="14664" w:type="dxa"/>
        <w:tblInd w:w="0" w:type="dxa"/>
        <w:tblLayout w:type="fixed"/>
        <w:tblCellMar>
          <w:top w:w="102" w:type="dxa"/>
          <w:left w:w="62" w:type="dxa"/>
          <w:bottom w:w="102" w:type="dxa"/>
          <w:right w:w="62" w:type="dxa"/>
        </w:tblCellMar>
      </w:tblPr>
      <w:tblGrid>
        <w:gridCol w:w="510"/>
        <w:gridCol w:w="2104"/>
        <w:gridCol w:w="2410"/>
        <w:gridCol w:w="2552"/>
        <w:gridCol w:w="2977"/>
        <w:gridCol w:w="1785"/>
        <w:gridCol w:w="2326"/>
      </w:tblGrid>
      <w:tr w14:paraId="5FE4DAA4">
        <w:tblPrEx>
          <w:tblCellMar>
            <w:top w:w="102" w:type="dxa"/>
            <w:left w:w="62" w:type="dxa"/>
            <w:bottom w:w="102" w:type="dxa"/>
            <w:right w:w="62" w:type="dxa"/>
          </w:tblCellMar>
        </w:tblPrEx>
        <w:tc>
          <w:tcPr>
            <w:tcW w:w="510" w:type="dxa"/>
            <w:tcBorders>
              <w:top w:val="single" w:color="auto" w:sz="4" w:space="0"/>
              <w:left w:val="single" w:color="auto" w:sz="4" w:space="0"/>
              <w:bottom w:val="single" w:color="auto" w:sz="4" w:space="0"/>
              <w:right w:val="single" w:color="auto" w:sz="4" w:space="0"/>
            </w:tcBorders>
          </w:tcPr>
          <w:p w14:paraId="330DCC18">
            <w:pPr>
              <w:autoSpaceDE w:val="0"/>
              <w:autoSpaceDN w:val="0"/>
              <w:adjustRightInd w:val="0"/>
              <w:jc w:val="center"/>
              <w:rPr>
                <w:rFonts w:eastAsiaTheme="minorHAnsi"/>
                <w:lang w:eastAsia="en-US"/>
              </w:rPr>
            </w:pPr>
            <w:r>
              <w:rPr>
                <w:rFonts w:eastAsiaTheme="minorHAnsi"/>
                <w:lang w:eastAsia="en-US"/>
              </w:rPr>
              <w:t>№ п/п</w:t>
            </w:r>
          </w:p>
        </w:tc>
        <w:tc>
          <w:tcPr>
            <w:tcW w:w="2104" w:type="dxa"/>
            <w:tcBorders>
              <w:top w:val="single" w:color="auto" w:sz="4" w:space="0"/>
              <w:left w:val="single" w:color="auto" w:sz="4" w:space="0"/>
              <w:bottom w:val="single" w:color="auto" w:sz="4" w:space="0"/>
              <w:right w:val="single" w:color="auto" w:sz="4" w:space="0"/>
            </w:tcBorders>
          </w:tcPr>
          <w:p w14:paraId="160C57E9">
            <w:pPr>
              <w:autoSpaceDE w:val="0"/>
              <w:autoSpaceDN w:val="0"/>
              <w:adjustRightInd w:val="0"/>
              <w:jc w:val="center"/>
              <w:rPr>
                <w:rFonts w:eastAsiaTheme="minorHAnsi"/>
                <w:lang w:eastAsia="en-US"/>
              </w:rPr>
            </w:pPr>
            <w:r>
              <w:rPr>
                <w:rFonts w:eastAsiaTheme="minorHAnsi"/>
                <w:lang w:eastAsia="en-US"/>
              </w:rPr>
              <w:t>Дата поступления муниципального нормативного правового акта на антикоррупцион-ную экспертизу</w:t>
            </w:r>
          </w:p>
        </w:tc>
        <w:tc>
          <w:tcPr>
            <w:tcW w:w="2410" w:type="dxa"/>
            <w:tcBorders>
              <w:top w:val="single" w:color="auto" w:sz="4" w:space="0"/>
              <w:left w:val="single" w:color="auto" w:sz="4" w:space="0"/>
              <w:bottom w:val="single" w:color="auto" w:sz="4" w:space="0"/>
              <w:right w:val="single" w:color="auto" w:sz="4" w:space="0"/>
            </w:tcBorders>
          </w:tcPr>
          <w:p w14:paraId="4AF40D40">
            <w:pPr>
              <w:autoSpaceDE w:val="0"/>
              <w:autoSpaceDN w:val="0"/>
              <w:adjustRightInd w:val="0"/>
              <w:jc w:val="center"/>
              <w:rPr>
                <w:rFonts w:eastAsiaTheme="minorHAnsi"/>
                <w:lang w:eastAsia="en-US"/>
              </w:rPr>
            </w:pPr>
            <w:r>
              <w:rPr>
                <w:rFonts w:eastAsiaTheme="minorHAnsi"/>
                <w:lang w:eastAsia="en-US"/>
              </w:rPr>
              <w:t xml:space="preserve">Наименование муниципального нормативного правового акта, </w:t>
            </w:r>
          </w:p>
          <w:p w14:paraId="1F488130">
            <w:pPr>
              <w:autoSpaceDE w:val="0"/>
              <w:autoSpaceDN w:val="0"/>
              <w:adjustRightInd w:val="0"/>
              <w:jc w:val="center"/>
              <w:rPr>
                <w:rFonts w:eastAsiaTheme="minorHAnsi"/>
                <w:lang w:eastAsia="en-US"/>
              </w:rPr>
            </w:pPr>
            <w:r>
              <w:rPr>
                <w:rFonts w:eastAsiaTheme="minorHAnsi"/>
                <w:lang w:eastAsia="en-US"/>
              </w:rPr>
              <w:t>его реквизиты</w:t>
            </w:r>
          </w:p>
        </w:tc>
        <w:tc>
          <w:tcPr>
            <w:tcW w:w="2552" w:type="dxa"/>
            <w:tcBorders>
              <w:top w:val="single" w:color="auto" w:sz="4" w:space="0"/>
              <w:left w:val="single" w:color="auto" w:sz="4" w:space="0"/>
              <w:bottom w:val="single" w:color="auto" w:sz="4" w:space="0"/>
              <w:right w:val="single" w:color="auto" w:sz="4" w:space="0"/>
            </w:tcBorders>
          </w:tcPr>
          <w:p w14:paraId="72463A11">
            <w:pPr>
              <w:autoSpaceDE w:val="0"/>
              <w:autoSpaceDN w:val="0"/>
              <w:adjustRightInd w:val="0"/>
              <w:jc w:val="center"/>
              <w:rPr>
                <w:rFonts w:eastAsiaTheme="minorHAnsi"/>
                <w:lang w:eastAsia="en-US"/>
              </w:rPr>
            </w:pPr>
            <w:r>
              <w:rPr>
                <w:rFonts w:eastAsiaTheme="minorHAnsi"/>
                <w:lang w:eastAsia="en-US"/>
              </w:rPr>
              <w:t>Должность и Ф.И.О. (последнее – при наличии) муниципального служащего, ответственного за подготовку муниципального нормативного правового акта</w:t>
            </w:r>
          </w:p>
        </w:tc>
        <w:tc>
          <w:tcPr>
            <w:tcW w:w="2977" w:type="dxa"/>
            <w:tcBorders>
              <w:top w:val="single" w:color="auto" w:sz="4" w:space="0"/>
              <w:left w:val="single" w:color="auto" w:sz="4" w:space="0"/>
              <w:bottom w:val="single" w:color="auto" w:sz="4" w:space="0"/>
              <w:right w:val="single" w:color="auto" w:sz="4" w:space="0"/>
            </w:tcBorders>
          </w:tcPr>
          <w:p w14:paraId="4DA11B07">
            <w:pPr>
              <w:autoSpaceDE w:val="0"/>
              <w:autoSpaceDN w:val="0"/>
              <w:adjustRightInd w:val="0"/>
              <w:jc w:val="center"/>
              <w:rPr>
                <w:rFonts w:eastAsiaTheme="minorHAnsi"/>
                <w:lang w:eastAsia="en-US"/>
              </w:rPr>
            </w:pPr>
            <w:r>
              <w:rPr>
                <w:rFonts w:eastAsiaTheme="minorHAnsi"/>
                <w:lang w:eastAsia="en-US"/>
              </w:rPr>
              <w:t xml:space="preserve">Информация </w:t>
            </w:r>
          </w:p>
          <w:p w14:paraId="31AE5442">
            <w:pPr>
              <w:autoSpaceDE w:val="0"/>
              <w:autoSpaceDN w:val="0"/>
              <w:adjustRightInd w:val="0"/>
              <w:jc w:val="center"/>
              <w:rPr>
                <w:rFonts w:eastAsiaTheme="minorHAnsi"/>
                <w:lang w:eastAsia="en-US"/>
              </w:rPr>
            </w:pPr>
            <w:r>
              <w:rPr>
                <w:rFonts w:eastAsiaTheme="minorHAnsi"/>
                <w:lang w:eastAsia="en-US"/>
              </w:rPr>
              <w:t>о наличии (отсутствии) коррупциогенных факторов</w:t>
            </w:r>
          </w:p>
        </w:tc>
        <w:tc>
          <w:tcPr>
            <w:tcW w:w="1785" w:type="dxa"/>
            <w:tcBorders>
              <w:top w:val="single" w:color="auto" w:sz="4" w:space="0"/>
              <w:left w:val="single" w:color="auto" w:sz="4" w:space="0"/>
              <w:bottom w:val="single" w:color="auto" w:sz="4" w:space="0"/>
              <w:right w:val="single" w:color="auto" w:sz="4" w:space="0"/>
            </w:tcBorders>
          </w:tcPr>
          <w:p w14:paraId="37CE0F58">
            <w:pPr>
              <w:autoSpaceDE w:val="0"/>
              <w:autoSpaceDN w:val="0"/>
              <w:adjustRightInd w:val="0"/>
              <w:jc w:val="center"/>
              <w:rPr>
                <w:rFonts w:eastAsiaTheme="minorHAnsi"/>
                <w:lang w:eastAsia="en-US"/>
              </w:rPr>
            </w:pPr>
            <w:r>
              <w:rPr>
                <w:rFonts w:eastAsiaTheme="minorHAnsi"/>
                <w:lang w:eastAsia="en-US"/>
              </w:rPr>
              <w:t>Номер и дата заключения по результатам антикорруп-ционной экспертизы</w:t>
            </w:r>
          </w:p>
          <w:p w14:paraId="26AEB2C5">
            <w:pPr>
              <w:autoSpaceDE w:val="0"/>
              <w:autoSpaceDN w:val="0"/>
              <w:adjustRightInd w:val="0"/>
              <w:jc w:val="center"/>
              <w:rPr>
                <w:rFonts w:eastAsiaTheme="minorHAnsi"/>
                <w:lang w:eastAsia="en-US"/>
              </w:rPr>
            </w:pPr>
            <w:r>
              <w:rPr>
                <w:rFonts w:eastAsiaTheme="minorHAnsi"/>
                <w:lang w:eastAsia="en-US"/>
              </w:rPr>
              <w:t>(в случае его подготовки)</w:t>
            </w:r>
          </w:p>
        </w:tc>
        <w:tc>
          <w:tcPr>
            <w:tcW w:w="2326" w:type="dxa"/>
            <w:tcBorders>
              <w:top w:val="single" w:color="auto" w:sz="4" w:space="0"/>
              <w:left w:val="single" w:color="auto" w:sz="4" w:space="0"/>
              <w:bottom w:val="single" w:color="auto" w:sz="4" w:space="0"/>
              <w:right w:val="single" w:color="auto" w:sz="4" w:space="0"/>
            </w:tcBorders>
          </w:tcPr>
          <w:p w14:paraId="0CC28E51">
            <w:pPr>
              <w:autoSpaceDE w:val="0"/>
              <w:autoSpaceDN w:val="0"/>
              <w:adjustRightInd w:val="0"/>
              <w:jc w:val="center"/>
              <w:rPr>
                <w:rFonts w:eastAsiaTheme="minorHAnsi"/>
                <w:lang w:eastAsia="en-US"/>
              </w:rPr>
            </w:pPr>
            <w:r>
              <w:rPr>
                <w:rFonts w:eastAsiaTheme="minorHAnsi"/>
                <w:lang w:eastAsia="en-US"/>
              </w:rPr>
              <w:t>Фамилия, инициалы, подпись</w:t>
            </w:r>
          </w:p>
          <w:p w14:paraId="31879E10">
            <w:pPr>
              <w:autoSpaceDE w:val="0"/>
              <w:autoSpaceDN w:val="0"/>
              <w:adjustRightInd w:val="0"/>
              <w:jc w:val="center"/>
              <w:rPr>
                <w:rFonts w:eastAsiaTheme="minorHAnsi"/>
                <w:lang w:eastAsia="en-US"/>
              </w:rPr>
            </w:pPr>
            <w:r>
              <w:rPr>
                <w:rFonts w:eastAsiaTheme="minorHAnsi"/>
                <w:lang w:eastAsia="en-US"/>
              </w:rPr>
              <w:t>муниципального служащего, проводившего антикоррупционную экспертизу</w:t>
            </w:r>
          </w:p>
        </w:tc>
      </w:tr>
      <w:tr w14:paraId="6C28F611">
        <w:tblPrEx>
          <w:tblCellMar>
            <w:top w:w="102" w:type="dxa"/>
            <w:left w:w="62" w:type="dxa"/>
            <w:bottom w:w="102" w:type="dxa"/>
            <w:right w:w="62" w:type="dxa"/>
          </w:tblCellMar>
        </w:tblPrEx>
        <w:tc>
          <w:tcPr>
            <w:tcW w:w="510" w:type="dxa"/>
            <w:tcBorders>
              <w:top w:val="single" w:color="auto" w:sz="4" w:space="0"/>
              <w:left w:val="single" w:color="auto" w:sz="4" w:space="0"/>
              <w:bottom w:val="single" w:color="auto" w:sz="4" w:space="0"/>
              <w:right w:val="single" w:color="auto" w:sz="4" w:space="0"/>
            </w:tcBorders>
          </w:tcPr>
          <w:p w14:paraId="08805D68">
            <w:pPr>
              <w:autoSpaceDE w:val="0"/>
              <w:autoSpaceDN w:val="0"/>
              <w:adjustRightInd w:val="0"/>
              <w:rPr>
                <w:rFonts w:eastAsiaTheme="minorHAnsi"/>
                <w:lang w:eastAsia="en-US"/>
              </w:rPr>
            </w:pPr>
          </w:p>
        </w:tc>
        <w:tc>
          <w:tcPr>
            <w:tcW w:w="2104" w:type="dxa"/>
            <w:tcBorders>
              <w:top w:val="single" w:color="auto" w:sz="4" w:space="0"/>
              <w:left w:val="single" w:color="auto" w:sz="4" w:space="0"/>
              <w:bottom w:val="single" w:color="auto" w:sz="4" w:space="0"/>
              <w:right w:val="single" w:color="auto" w:sz="4" w:space="0"/>
            </w:tcBorders>
          </w:tcPr>
          <w:p w14:paraId="196D02C4">
            <w:pPr>
              <w:autoSpaceDE w:val="0"/>
              <w:autoSpaceDN w:val="0"/>
              <w:adjustRightInd w:val="0"/>
              <w:rPr>
                <w:rFonts w:eastAsiaTheme="minorHAnsi"/>
                <w:lang w:eastAsia="en-US"/>
              </w:rPr>
            </w:pPr>
          </w:p>
        </w:tc>
        <w:tc>
          <w:tcPr>
            <w:tcW w:w="2410" w:type="dxa"/>
            <w:tcBorders>
              <w:top w:val="single" w:color="auto" w:sz="4" w:space="0"/>
              <w:left w:val="single" w:color="auto" w:sz="4" w:space="0"/>
              <w:bottom w:val="single" w:color="auto" w:sz="4" w:space="0"/>
              <w:right w:val="single" w:color="auto" w:sz="4" w:space="0"/>
            </w:tcBorders>
          </w:tcPr>
          <w:p w14:paraId="5CAB14DB">
            <w:pPr>
              <w:autoSpaceDE w:val="0"/>
              <w:autoSpaceDN w:val="0"/>
              <w:adjustRightInd w:val="0"/>
              <w:rPr>
                <w:rFonts w:eastAsiaTheme="minorHAnsi"/>
                <w:lang w:eastAsia="en-US"/>
              </w:rPr>
            </w:pPr>
          </w:p>
        </w:tc>
        <w:tc>
          <w:tcPr>
            <w:tcW w:w="2552" w:type="dxa"/>
            <w:tcBorders>
              <w:top w:val="single" w:color="auto" w:sz="4" w:space="0"/>
              <w:left w:val="single" w:color="auto" w:sz="4" w:space="0"/>
              <w:bottom w:val="single" w:color="auto" w:sz="4" w:space="0"/>
              <w:right w:val="single" w:color="auto" w:sz="4" w:space="0"/>
            </w:tcBorders>
          </w:tcPr>
          <w:p w14:paraId="193A2A5F">
            <w:pPr>
              <w:autoSpaceDE w:val="0"/>
              <w:autoSpaceDN w:val="0"/>
              <w:adjustRightInd w:val="0"/>
              <w:rPr>
                <w:rFonts w:eastAsiaTheme="minorHAnsi"/>
                <w:lang w:eastAsia="en-US"/>
              </w:rPr>
            </w:pPr>
          </w:p>
        </w:tc>
        <w:tc>
          <w:tcPr>
            <w:tcW w:w="2977" w:type="dxa"/>
            <w:tcBorders>
              <w:top w:val="single" w:color="auto" w:sz="4" w:space="0"/>
              <w:left w:val="single" w:color="auto" w:sz="4" w:space="0"/>
              <w:bottom w:val="single" w:color="auto" w:sz="4" w:space="0"/>
              <w:right w:val="single" w:color="auto" w:sz="4" w:space="0"/>
            </w:tcBorders>
          </w:tcPr>
          <w:p w14:paraId="2CF04298">
            <w:pPr>
              <w:autoSpaceDE w:val="0"/>
              <w:autoSpaceDN w:val="0"/>
              <w:adjustRightInd w:val="0"/>
              <w:rPr>
                <w:rFonts w:eastAsiaTheme="minorHAnsi"/>
                <w:lang w:eastAsia="en-US"/>
              </w:rPr>
            </w:pPr>
          </w:p>
        </w:tc>
        <w:tc>
          <w:tcPr>
            <w:tcW w:w="1785" w:type="dxa"/>
            <w:tcBorders>
              <w:top w:val="single" w:color="auto" w:sz="4" w:space="0"/>
              <w:left w:val="single" w:color="auto" w:sz="4" w:space="0"/>
              <w:bottom w:val="single" w:color="auto" w:sz="4" w:space="0"/>
              <w:right w:val="single" w:color="auto" w:sz="4" w:space="0"/>
            </w:tcBorders>
          </w:tcPr>
          <w:p w14:paraId="47BBF059">
            <w:pPr>
              <w:autoSpaceDE w:val="0"/>
              <w:autoSpaceDN w:val="0"/>
              <w:adjustRightInd w:val="0"/>
              <w:rPr>
                <w:rFonts w:eastAsiaTheme="minorHAnsi"/>
                <w:lang w:eastAsia="en-US"/>
              </w:rPr>
            </w:pPr>
          </w:p>
        </w:tc>
        <w:tc>
          <w:tcPr>
            <w:tcW w:w="2326" w:type="dxa"/>
            <w:tcBorders>
              <w:top w:val="single" w:color="auto" w:sz="4" w:space="0"/>
              <w:left w:val="single" w:color="auto" w:sz="4" w:space="0"/>
              <w:bottom w:val="single" w:color="auto" w:sz="4" w:space="0"/>
              <w:right w:val="single" w:color="auto" w:sz="4" w:space="0"/>
            </w:tcBorders>
          </w:tcPr>
          <w:p w14:paraId="7448C79B">
            <w:pPr>
              <w:autoSpaceDE w:val="0"/>
              <w:autoSpaceDN w:val="0"/>
              <w:adjustRightInd w:val="0"/>
              <w:rPr>
                <w:rFonts w:eastAsiaTheme="minorHAnsi"/>
                <w:lang w:eastAsia="en-US"/>
              </w:rPr>
            </w:pPr>
          </w:p>
        </w:tc>
      </w:tr>
    </w:tbl>
    <w:p w14:paraId="37FDD8AE">
      <w:pPr>
        <w:autoSpaceDE w:val="0"/>
        <w:autoSpaceDN w:val="0"/>
        <w:adjustRightInd w:val="0"/>
        <w:jc w:val="both"/>
        <w:rPr>
          <w:rFonts w:eastAsiaTheme="minorHAnsi"/>
          <w:lang w:eastAsia="en-US"/>
        </w:rPr>
      </w:pPr>
    </w:p>
    <w:p w14:paraId="007A7238">
      <w:pPr>
        <w:spacing w:after="200" w:line="276" w:lineRule="auto"/>
        <w:jc w:val="center"/>
        <w:rPr>
          <w:rFonts w:eastAsiaTheme="minorHAnsi"/>
          <w:lang w:eastAsia="en-US"/>
        </w:rPr>
      </w:pPr>
      <w:r>
        <w:rPr>
          <w:rFonts w:eastAsiaTheme="minorHAnsi"/>
          <w:lang w:eastAsia="en-US"/>
        </w:rPr>
        <w:t>_________</w:t>
      </w:r>
    </w:p>
    <w:sectPr>
      <w:footnotePr>
        <w:numFmt w:val="chicago"/>
      </w:footnotePr>
      <w:pgSz w:w="16838" w:h="11906" w:orient="landscape"/>
      <w:pgMar w:top="1701" w:right="1418" w:bottom="851" w:left="1134" w:header="709" w:footer="57"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CF219">
    <w:pPr>
      <w:autoSpaceDE w:val="0"/>
      <w:autoSpaceDN w:val="0"/>
      <w:adjustRightInd w:val="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8030564"/>
      <w:docPartObj>
        <w:docPartGallery w:val="autotext"/>
      </w:docPartObj>
    </w:sdtPr>
    <w:sdtEndPr>
      <w:rPr>
        <w:sz w:val="28"/>
        <w:szCs w:val="28"/>
      </w:rPr>
    </w:sdtEndPr>
    <w:sdtContent>
      <w:p w14:paraId="47F50FCF">
        <w:pPr>
          <w:pStyle w:val="8"/>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rPr>
          <w:t>3</w:t>
        </w:r>
        <w:r>
          <w:rPr>
            <w:sz w:val="28"/>
            <w:szCs w:val="28"/>
          </w:rPr>
          <w:fldChar w:fldCharType="end"/>
        </w:r>
      </w:p>
    </w:sdtContent>
  </w:sdt>
  <w:p w14:paraId="231C6323">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D0DFA9"/>
    <w:multiLevelType w:val="singleLevel"/>
    <w:tmpl w:val="A3D0DFA9"/>
    <w:lvl w:ilvl="0" w:tentative="0">
      <w:start w:val="1"/>
      <w:numFmt w:val="decimal"/>
      <w:suff w:val="space"/>
      <w:lvlText w:val="%1."/>
      <w:lvlJc w:val="left"/>
    </w:lvl>
  </w:abstractNum>
  <w:abstractNum w:abstractNumId="1">
    <w:nsid w:val="41ED5AA5"/>
    <w:multiLevelType w:val="multilevel"/>
    <w:tmpl w:val="41ED5AA5"/>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6EEF1898"/>
    <w:multiLevelType w:val="multilevel"/>
    <w:tmpl w:val="6EEF1898"/>
    <w:lvl w:ilvl="0" w:tentative="0">
      <w:start w:val="3"/>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numFmt w:val="chicago"/>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4B248D"/>
    <w:rsid w:val="00001579"/>
    <w:rsid w:val="000015D9"/>
    <w:rsid w:val="00007F09"/>
    <w:rsid w:val="0001296A"/>
    <w:rsid w:val="00014CB1"/>
    <w:rsid w:val="00015B29"/>
    <w:rsid w:val="000223FF"/>
    <w:rsid w:val="00023266"/>
    <w:rsid w:val="00030C7B"/>
    <w:rsid w:val="0003191A"/>
    <w:rsid w:val="00032998"/>
    <w:rsid w:val="00036A6F"/>
    <w:rsid w:val="000408D6"/>
    <w:rsid w:val="00040F45"/>
    <w:rsid w:val="00041765"/>
    <w:rsid w:val="00050CD9"/>
    <w:rsid w:val="00054E67"/>
    <w:rsid w:val="0005624C"/>
    <w:rsid w:val="0006083A"/>
    <w:rsid w:val="00061B47"/>
    <w:rsid w:val="0006389C"/>
    <w:rsid w:val="00063FD9"/>
    <w:rsid w:val="00065F50"/>
    <w:rsid w:val="0006679A"/>
    <w:rsid w:val="00071182"/>
    <w:rsid w:val="00072C5F"/>
    <w:rsid w:val="0007504F"/>
    <w:rsid w:val="000903FD"/>
    <w:rsid w:val="000919A1"/>
    <w:rsid w:val="00091C1C"/>
    <w:rsid w:val="00092300"/>
    <w:rsid w:val="00093198"/>
    <w:rsid w:val="000A15EE"/>
    <w:rsid w:val="000A1709"/>
    <w:rsid w:val="000A5B64"/>
    <w:rsid w:val="000A71C7"/>
    <w:rsid w:val="000B42D7"/>
    <w:rsid w:val="000B4AB3"/>
    <w:rsid w:val="000C35F8"/>
    <w:rsid w:val="000D46BB"/>
    <w:rsid w:val="000D58AF"/>
    <w:rsid w:val="000D6AE1"/>
    <w:rsid w:val="000E1CFB"/>
    <w:rsid w:val="000E2943"/>
    <w:rsid w:val="000E4D75"/>
    <w:rsid w:val="000F0682"/>
    <w:rsid w:val="000F09EE"/>
    <w:rsid w:val="000F1F65"/>
    <w:rsid w:val="000F2958"/>
    <w:rsid w:val="000F6863"/>
    <w:rsid w:val="000F7530"/>
    <w:rsid w:val="00102698"/>
    <w:rsid w:val="00106A2C"/>
    <w:rsid w:val="00106B73"/>
    <w:rsid w:val="001233CE"/>
    <w:rsid w:val="00124FE6"/>
    <w:rsid w:val="00125F74"/>
    <w:rsid w:val="001306BD"/>
    <w:rsid w:val="001310A8"/>
    <w:rsid w:val="00133F5E"/>
    <w:rsid w:val="00141537"/>
    <w:rsid w:val="001438BB"/>
    <w:rsid w:val="00150457"/>
    <w:rsid w:val="00155E54"/>
    <w:rsid w:val="001564DF"/>
    <w:rsid w:val="00162137"/>
    <w:rsid w:val="001628A8"/>
    <w:rsid w:val="001643A4"/>
    <w:rsid w:val="00173BC7"/>
    <w:rsid w:val="001752A0"/>
    <w:rsid w:val="0017595E"/>
    <w:rsid w:val="0017777F"/>
    <w:rsid w:val="00177B92"/>
    <w:rsid w:val="00183193"/>
    <w:rsid w:val="00185C39"/>
    <w:rsid w:val="001875A6"/>
    <w:rsid w:val="00191CE5"/>
    <w:rsid w:val="0019208D"/>
    <w:rsid w:val="00196134"/>
    <w:rsid w:val="001A5FBC"/>
    <w:rsid w:val="001B076B"/>
    <w:rsid w:val="001B2623"/>
    <w:rsid w:val="001B28B6"/>
    <w:rsid w:val="001B6650"/>
    <w:rsid w:val="001C08EA"/>
    <w:rsid w:val="001C245B"/>
    <w:rsid w:val="001C2FB2"/>
    <w:rsid w:val="001C3046"/>
    <w:rsid w:val="001D432D"/>
    <w:rsid w:val="001E634C"/>
    <w:rsid w:val="001E79C9"/>
    <w:rsid w:val="001E7A84"/>
    <w:rsid w:val="001F1EEC"/>
    <w:rsid w:val="001F4437"/>
    <w:rsid w:val="001F5417"/>
    <w:rsid w:val="001F57E3"/>
    <w:rsid w:val="001F590D"/>
    <w:rsid w:val="001F613B"/>
    <w:rsid w:val="00200A7D"/>
    <w:rsid w:val="002039C7"/>
    <w:rsid w:val="0020499D"/>
    <w:rsid w:val="00204EAB"/>
    <w:rsid w:val="00206525"/>
    <w:rsid w:val="00216471"/>
    <w:rsid w:val="00216CEF"/>
    <w:rsid w:val="002213FB"/>
    <w:rsid w:val="00222F5D"/>
    <w:rsid w:val="002248B4"/>
    <w:rsid w:val="00227BB2"/>
    <w:rsid w:val="00236202"/>
    <w:rsid w:val="00236467"/>
    <w:rsid w:val="00237B76"/>
    <w:rsid w:val="00242ED2"/>
    <w:rsid w:val="00244200"/>
    <w:rsid w:val="00246B86"/>
    <w:rsid w:val="0024717F"/>
    <w:rsid w:val="00247707"/>
    <w:rsid w:val="00251019"/>
    <w:rsid w:val="00254675"/>
    <w:rsid w:val="00255650"/>
    <w:rsid w:val="00257C3F"/>
    <w:rsid w:val="00262A54"/>
    <w:rsid w:val="0026317B"/>
    <w:rsid w:val="00264E2D"/>
    <w:rsid w:val="002719A8"/>
    <w:rsid w:val="0027457D"/>
    <w:rsid w:val="002747B2"/>
    <w:rsid w:val="00274F0F"/>
    <w:rsid w:val="00275885"/>
    <w:rsid w:val="00297554"/>
    <w:rsid w:val="002A1965"/>
    <w:rsid w:val="002A2293"/>
    <w:rsid w:val="002A2852"/>
    <w:rsid w:val="002A476B"/>
    <w:rsid w:val="002B131E"/>
    <w:rsid w:val="002B25EB"/>
    <w:rsid w:val="002B2A50"/>
    <w:rsid w:val="002B2FF9"/>
    <w:rsid w:val="002B4C89"/>
    <w:rsid w:val="002B5C2B"/>
    <w:rsid w:val="002B5C62"/>
    <w:rsid w:val="002B683B"/>
    <w:rsid w:val="002C06F7"/>
    <w:rsid w:val="002C1433"/>
    <w:rsid w:val="002C7A48"/>
    <w:rsid w:val="002D37F4"/>
    <w:rsid w:val="002E1D60"/>
    <w:rsid w:val="002E375E"/>
    <w:rsid w:val="002E7F36"/>
    <w:rsid w:val="002F1A1E"/>
    <w:rsid w:val="002F1B0B"/>
    <w:rsid w:val="002F4F5D"/>
    <w:rsid w:val="002F50C9"/>
    <w:rsid w:val="002F7F6A"/>
    <w:rsid w:val="00302784"/>
    <w:rsid w:val="003046AE"/>
    <w:rsid w:val="00305E08"/>
    <w:rsid w:val="003100C5"/>
    <w:rsid w:val="0031199A"/>
    <w:rsid w:val="003122C2"/>
    <w:rsid w:val="00314B5C"/>
    <w:rsid w:val="00315343"/>
    <w:rsid w:val="00315F54"/>
    <w:rsid w:val="00316CCC"/>
    <w:rsid w:val="00317503"/>
    <w:rsid w:val="00317A93"/>
    <w:rsid w:val="00320452"/>
    <w:rsid w:val="0032086E"/>
    <w:rsid w:val="00322D38"/>
    <w:rsid w:val="0032523E"/>
    <w:rsid w:val="003266B2"/>
    <w:rsid w:val="00326846"/>
    <w:rsid w:val="00330522"/>
    <w:rsid w:val="00332451"/>
    <w:rsid w:val="00332BC9"/>
    <w:rsid w:val="00332C6E"/>
    <w:rsid w:val="0033577E"/>
    <w:rsid w:val="00337370"/>
    <w:rsid w:val="003403AA"/>
    <w:rsid w:val="003407B3"/>
    <w:rsid w:val="00341700"/>
    <w:rsid w:val="00342284"/>
    <w:rsid w:val="003430DB"/>
    <w:rsid w:val="00344A43"/>
    <w:rsid w:val="003454C8"/>
    <w:rsid w:val="00345BD7"/>
    <w:rsid w:val="00346538"/>
    <w:rsid w:val="003525EB"/>
    <w:rsid w:val="003534BE"/>
    <w:rsid w:val="00353892"/>
    <w:rsid w:val="0035575B"/>
    <w:rsid w:val="00356BB7"/>
    <w:rsid w:val="00357FFC"/>
    <w:rsid w:val="0036009C"/>
    <w:rsid w:val="00360B35"/>
    <w:rsid w:val="00372B45"/>
    <w:rsid w:val="003732BD"/>
    <w:rsid w:val="0037673B"/>
    <w:rsid w:val="00376F4E"/>
    <w:rsid w:val="00382E37"/>
    <w:rsid w:val="00392BE3"/>
    <w:rsid w:val="00397979"/>
    <w:rsid w:val="003A00E2"/>
    <w:rsid w:val="003A45B4"/>
    <w:rsid w:val="003B2287"/>
    <w:rsid w:val="003C3514"/>
    <w:rsid w:val="003C705C"/>
    <w:rsid w:val="003D07B7"/>
    <w:rsid w:val="003D30E7"/>
    <w:rsid w:val="003D4584"/>
    <w:rsid w:val="003E2177"/>
    <w:rsid w:val="003E28F9"/>
    <w:rsid w:val="003E4127"/>
    <w:rsid w:val="003E43A2"/>
    <w:rsid w:val="003E677F"/>
    <w:rsid w:val="003E6B86"/>
    <w:rsid w:val="003F23BD"/>
    <w:rsid w:val="003F36BB"/>
    <w:rsid w:val="003F4C76"/>
    <w:rsid w:val="003F69BE"/>
    <w:rsid w:val="003F79AD"/>
    <w:rsid w:val="00400494"/>
    <w:rsid w:val="00402550"/>
    <w:rsid w:val="00404777"/>
    <w:rsid w:val="00404CE6"/>
    <w:rsid w:val="00406F63"/>
    <w:rsid w:val="00407143"/>
    <w:rsid w:val="00410B34"/>
    <w:rsid w:val="00411049"/>
    <w:rsid w:val="00412123"/>
    <w:rsid w:val="004177EE"/>
    <w:rsid w:val="004211C8"/>
    <w:rsid w:val="00427ABE"/>
    <w:rsid w:val="004331DD"/>
    <w:rsid w:val="00433587"/>
    <w:rsid w:val="004402EE"/>
    <w:rsid w:val="00441EAD"/>
    <w:rsid w:val="00444DFF"/>
    <w:rsid w:val="00445437"/>
    <w:rsid w:val="004464A6"/>
    <w:rsid w:val="00447B4C"/>
    <w:rsid w:val="00452B13"/>
    <w:rsid w:val="00453238"/>
    <w:rsid w:val="00454ACE"/>
    <w:rsid w:val="00456198"/>
    <w:rsid w:val="0046318D"/>
    <w:rsid w:val="00463F10"/>
    <w:rsid w:val="004653AA"/>
    <w:rsid w:val="0047185C"/>
    <w:rsid w:val="00475DA3"/>
    <w:rsid w:val="004763E3"/>
    <w:rsid w:val="00477103"/>
    <w:rsid w:val="00480A15"/>
    <w:rsid w:val="00481D47"/>
    <w:rsid w:val="00482825"/>
    <w:rsid w:val="0048773C"/>
    <w:rsid w:val="00490502"/>
    <w:rsid w:val="00490804"/>
    <w:rsid w:val="00492175"/>
    <w:rsid w:val="004A7D47"/>
    <w:rsid w:val="004A7DEE"/>
    <w:rsid w:val="004B03DB"/>
    <w:rsid w:val="004B248D"/>
    <w:rsid w:val="004B2752"/>
    <w:rsid w:val="004B3209"/>
    <w:rsid w:val="004B3B13"/>
    <w:rsid w:val="004B3F73"/>
    <w:rsid w:val="004B43A7"/>
    <w:rsid w:val="004C0586"/>
    <w:rsid w:val="004C1D9F"/>
    <w:rsid w:val="004C352A"/>
    <w:rsid w:val="004C3591"/>
    <w:rsid w:val="004D23F7"/>
    <w:rsid w:val="004D34F6"/>
    <w:rsid w:val="004D58F4"/>
    <w:rsid w:val="004E4208"/>
    <w:rsid w:val="004E5727"/>
    <w:rsid w:val="004E6C36"/>
    <w:rsid w:val="004F2518"/>
    <w:rsid w:val="004F50DE"/>
    <w:rsid w:val="00502F25"/>
    <w:rsid w:val="00504CF6"/>
    <w:rsid w:val="00504ED3"/>
    <w:rsid w:val="005067BB"/>
    <w:rsid w:val="005070FE"/>
    <w:rsid w:val="005138C3"/>
    <w:rsid w:val="0051727C"/>
    <w:rsid w:val="00523923"/>
    <w:rsid w:val="00523E86"/>
    <w:rsid w:val="00524AF0"/>
    <w:rsid w:val="005269F9"/>
    <w:rsid w:val="005301AC"/>
    <w:rsid w:val="00537656"/>
    <w:rsid w:val="005402FA"/>
    <w:rsid w:val="00543DB4"/>
    <w:rsid w:val="00544C20"/>
    <w:rsid w:val="00550175"/>
    <w:rsid w:val="00553F41"/>
    <w:rsid w:val="00554277"/>
    <w:rsid w:val="0055565B"/>
    <w:rsid w:val="00557F17"/>
    <w:rsid w:val="00564998"/>
    <w:rsid w:val="00565EC8"/>
    <w:rsid w:val="00570877"/>
    <w:rsid w:val="00570FB1"/>
    <w:rsid w:val="00571AB0"/>
    <w:rsid w:val="0057245E"/>
    <w:rsid w:val="00572984"/>
    <w:rsid w:val="00581431"/>
    <w:rsid w:val="00581C19"/>
    <w:rsid w:val="00582E66"/>
    <w:rsid w:val="00582F8A"/>
    <w:rsid w:val="005849D1"/>
    <w:rsid w:val="005849D5"/>
    <w:rsid w:val="0058731A"/>
    <w:rsid w:val="00590030"/>
    <w:rsid w:val="00590992"/>
    <w:rsid w:val="00591240"/>
    <w:rsid w:val="00594030"/>
    <w:rsid w:val="005977A9"/>
    <w:rsid w:val="005A050B"/>
    <w:rsid w:val="005A39AB"/>
    <w:rsid w:val="005A423E"/>
    <w:rsid w:val="005A42B6"/>
    <w:rsid w:val="005A47E9"/>
    <w:rsid w:val="005A5819"/>
    <w:rsid w:val="005A6D03"/>
    <w:rsid w:val="005B37A9"/>
    <w:rsid w:val="005B5F16"/>
    <w:rsid w:val="005B6B5E"/>
    <w:rsid w:val="005C297C"/>
    <w:rsid w:val="005C461B"/>
    <w:rsid w:val="005C5A9F"/>
    <w:rsid w:val="005C5C0F"/>
    <w:rsid w:val="005D00B1"/>
    <w:rsid w:val="005D1577"/>
    <w:rsid w:val="005D4D84"/>
    <w:rsid w:val="005D4E26"/>
    <w:rsid w:val="005D6346"/>
    <w:rsid w:val="005E07CB"/>
    <w:rsid w:val="005E287F"/>
    <w:rsid w:val="005E4AFC"/>
    <w:rsid w:val="005E7358"/>
    <w:rsid w:val="005F244A"/>
    <w:rsid w:val="005F7296"/>
    <w:rsid w:val="00606014"/>
    <w:rsid w:val="00611462"/>
    <w:rsid w:val="006114C9"/>
    <w:rsid w:val="00611905"/>
    <w:rsid w:val="006133C1"/>
    <w:rsid w:val="006156D4"/>
    <w:rsid w:val="006233DE"/>
    <w:rsid w:val="0062621C"/>
    <w:rsid w:val="00631076"/>
    <w:rsid w:val="00635AF1"/>
    <w:rsid w:val="0063642E"/>
    <w:rsid w:val="00637504"/>
    <w:rsid w:val="00637D2D"/>
    <w:rsid w:val="00640D71"/>
    <w:rsid w:val="00640E1A"/>
    <w:rsid w:val="006456F7"/>
    <w:rsid w:val="00645E1F"/>
    <w:rsid w:val="00646C2F"/>
    <w:rsid w:val="00646EE9"/>
    <w:rsid w:val="00647550"/>
    <w:rsid w:val="006501E3"/>
    <w:rsid w:val="006507D1"/>
    <w:rsid w:val="006569D5"/>
    <w:rsid w:val="0066124D"/>
    <w:rsid w:val="0066478D"/>
    <w:rsid w:val="006674A4"/>
    <w:rsid w:val="00670131"/>
    <w:rsid w:val="00674CE6"/>
    <w:rsid w:val="006779F7"/>
    <w:rsid w:val="0068108C"/>
    <w:rsid w:val="00681A99"/>
    <w:rsid w:val="00682727"/>
    <w:rsid w:val="00684852"/>
    <w:rsid w:val="0068660C"/>
    <w:rsid w:val="00687C49"/>
    <w:rsid w:val="00691B5F"/>
    <w:rsid w:val="006A11FD"/>
    <w:rsid w:val="006A14CE"/>
    <w:rsid w:val="006A2893"/>
    <w:rsid w:val="006A2BD7"/>
    <w:rsid w:val="006A30EB"/>
    <w:rsid w:val="006A6135"/>
    <w:rsid w:val="006A6242"/>
    <w:rsid w:val="006B1B51"/>
    <w:rsid w:val="006B2AF5"/>
    <w:rsid w:val="006B345F"/>
    <w:rsid w:val="006B38EC"/>
    <w:rsid w:val="006B6FEA"/>
    <w:rsid w:val="006C24B5"/>
    <w:rsid w:val="006C58D0"/>
    <w:rsid w:val="006D3ADD"/>
    <w:rsid w:val="006E1F2F"/>
    <w:rsid w:val="006E3EDA"/>
    <w:rsid w:val="006E4B94"/>
    <w:rsid w:val="006F00D4"/>
    <w:rsid w:val="006F09FD"/>
    <w:rsid w:val="006F36AD"/>
    <w:rsid w:val="006F4E74"/>
    <w:rsid w:val="006F6149"/>
    <w:rsid w:val="006F6EB3"/>
    <w:rsid w:val="00701CB6"/>
    <w:rsid w:val="00713B1D"/>
    <w:rsid w:val="00715BB1"/>
    <w:rsid w:val="00720D1D"/>
    <w:rsid w:val="007223D2"/>
    <w:rsid w:val="00722BFB"/>
    <w:rsid w:val="00723078"/>
    <w:rsid w:val="00723196"/>
    <w:rsid w:val="00727F7F"/>
    <w:rsid w:val="007319C0"/>
    <w:rsid w:val="00732BFC"/>
    <w:rsid w:val="0073467F"/>
    <w:rsid w:val="007360B4"/>
    <w:rsid w:val="00736907"/>
    <w:rsid w:val="00740031"/>
    <w:rsid w:val="00740E5E"/>
    <w:rsid w:val="00741039"/>
    <w:rsid w:val="00747305"/>
    <w:rsid w:val="00750965"/>
    <w:rsid w:val="007513A1"/>
    <w:rsid w:val="00752FC2"/>
    <w:rsid w:val="00757CDB"/>
    <w:rsid w:val="00757EA7"/>
    <w:rsid w:val="00757FCF"/>
    <w:rsid w:val="0076055D"/>
    <w:rsid w:val="0076258D"/>
    <w:rsid w:val="0076366B"/>
    <w:rsid w:val="007648F5"/>
    <w:rsid w:val="00766AC7"/>
    <w:rsid w:val="00771C31"/>
    <w:rsid w:val="00771F9C"/>
    <w:rsid w:val="007762F2"/>
    <w:rsid w:val="007777E5"/>
    <w:rsid w:val="00782333"/>
    <w:rsid w:val="00784A62"/>
    <w:rsid w:val="00791B50"/>
    <w:rsid w:val="00793383"/>
    <w:rsid w:val="00793B27"/>
    <w:rsid w:val="00796CA6"/>
    <w:rsid w:val="007A3F4F"/>
    <w:rsid w:val="007A4777"/>
    <w:rsid w:val="007A5817"/>
    <w:rsid w:val="007A72C9"/>
    <w:rsid w:val="007A75B1"/>
    <w:rsid w:val="007A78ED"/>
    <w:rsid w:val="007B0666"/>
    <w:rsid w:val="007B13BC"/>
    <w:rsid w:val="007B2D93"/>
    <w:rsid w:val="007B3399"/>
    <w:rsid w:val="007B3C5B"/>
    <w:rsid w:val="007B5C81"/>
    <w:rsid w:val="007B7370"/>
    <w:rsid w:val="007C41C1"/>
    <w:rsid w:val="007D1338"/>
    <w:rsid w:val="007D2363"/>
    <w:rsid w:val="007D50B0"/>
    <w:rsid w:val="007D7503"/>
    <w:rsid w:val="007E2113"/>
    <w:rsid w:val="007E3EC4"/>
    <w:rsid w:val="007E60C9"/>
    <w:rsid w:val="007F0286"/>
    <w:rsid w:val="007F0F29"/>
    <w:rsid w:val="007F136A"/>
    <w:rsid w:val="007F13AD"/>
    <w:rsid w:val="007F14D6"/>
    <w:rsid w:val="007F3885"/>
    <w:rsid w:val="007F47C0"/>
    <w:rsid w:val="007F5582"/>
    <w:rsid w:val="007F6132"/>
    <w:rsid w:val="0080235C"/>
    <w:rsid w:val="008027A2"/>
    <w:rsid w:val="008208E8"/>
    <w:rsid w:val="008218D9"/>
    <w:rsid w:val="00831DA8"/>
    <w:rsid w:val="00832687"/>
    <w:rsid w:val="00832CAE"/>
    <w:rsid w:val="00834849"/>
    <w:rsid w:val="00836CE7"/>
    <w:rsid w:val="00837A32"/>
    <w:rsid w:val="008411AA"/>
    <w:rsid w:val="0084138C"/>
    <w:rsid w:val="00841D89"/>
    <w:rsid w:val="00841EE2"/>
    <w:rsid w:val="0084304C"/>
    <w:rsid w:val="00845D5C"/>
    <w:rsid w:val="0084630A"/>
    <w:rsid w:val="00852EEF"/>
    <w:rsid w:val="00853FBF"/>
    <w:rsid w:val="008651D4"/>
    <w:rsid w:val="008655DA"/>
    <w:rsid w:val="00866FC9"/>
    <w:rsid w:val="00876872"/>
    <w:rsid w:val="00877F9F"/>
    <w:rsid w:val="00883D23"/>
    <w:rsid w:val="00883E47"/>
    <w:rsid w:val="008848BD"/>
    <w:rsid w:val="00885336"/>
    <w:rsid w:val="00885A1C"/>
    <w:rsid w:val="00885BEF"/>
    <w:rsid w:val="00886C6A"/>
    <w:rsid w:val="00886D28"/>
    <w:rsid w:val="00887E86"/>
    <w:rsid w:val="008901E6"/>
    <w:rsid w:val="00891D62"/>
    <w:rsid w:val="00896866"/>
    <w:rsid w:val="008A0414"/>
    <w:rsid w:val="008A3C2B"/>
    <w:rsid w:val="008A436E"/>
    <w:rsid w:val="008A471D"/>
    <w:rsid w:val="008A79A3"/>
    <w:rsid w:val="008B16E4"/>
    <w:rsid w:val="008B4E13"/>
    <w:rsid w:val="008B5C45"/>
    <w:rsid w:val="008C5863"/>
    <w:rsid w:val="008D094F"/>
    <w:rsid w:val="008D0E54"/>
    <w:rsid w:val="008D2ADA"/>
    <w:rsid w:val="008D5461"/>
    <w:rsid w:val="008D6815"/>
    <w:rsid w:val="008E5898"/>
    <w:rsid w:val="008E6795"/>
    <w:rsid w:val="008E67ED"/>
    <w:rsid w:val="008F1515"/>
    <w:rsid w:val="008F4CAA"/>
    <w:rsid w:val="008F564A"/>
    <w:rsid w:val="009016AE"/>
    <w:rsid w:val="00906ACB"/>
    <w:rsid w:val="00910662"/>
    <w:rsid w:val="0091128F"/>
    <w:rsid w:val="00911525"/>
    <w:rsid w:val="00911935"/>
    <w:rsid w:val="0091312B"/>
    <w:rsid w:val="00914453"/>
    <w:rsid w:val="00923DA0"/>
    <w:rsid w:val="009319E1"/>
    <w:rsid w:val="00934018"/>
    <w:rsid w:val="00934A46"/>
    <w:rsid w:val="00936A6C"/>
    <w:rsid w:val="009462A5"/>
    <w:rsid w:val="00946CF3"/>
    <w:rsid w:val="009504C0"/>
    <w:rsid w:val="009523FE"/>
    <w:rsid w:val="00953010"/>
    <w:rsid w:val="00955751"/>
    <w:rsid w:val="0095793A"/>
    <w:rsid w:val="009637AD"/>
    <w:rsid w:val="00964722"/>
    <w:rsid w:val="00971B2C"/>
    <w:rsid w:val="00974075"/>
    <w:rsid w:val="009747CD"/>
    <w:rsid w:val="00974A3F"/>
    <w:rsid w:val="00982FC1"/>
    <w:rsid w:val="00985709"/>
    <w:rsid w:val="00985B86"/>
    <w:rsid w:val="00990835"/>
    <w:rsid w:val="0099120C"/>
    <w:rsid w:val="00993237"/>
    <w:rsid w:val="0099567A"/>
    <w:rsid w:val="00995D21"/>
    <w:rsid w:val="009A2280"/>
    <w:rsid w:val="009B00AE"/>
    <w:rsid w:val="009B4B70"/>
    <w:rsid w:val="009B53E0"/>
    <w:rsid w:val="009B58E9"/>
    <w:rsid w:val="009C4CCA"/>
    <w:rsid w:val="009C5FE6"/>
    <w:rsid w:val="009C6A05"/>
    <w:rsid w:val="009D1D33"/>
    <w:rsid w:val="009D44D7"/>
    <w:rsid w:val="009E2BDC"/>
    <w:rsid w:val="009E4FDF"/>
    <w:rsid w:val="009F0287"/>
    <w:rsid w:val="009F1675"/>
    <w:rsid w:val="009F4727"/>
    <w:rsid w:val="009F7722"/>
    <w:rsid w:val="009F7903"/>
    <w:rsid w:val="00A00193"/>
    <w:rsid w:val="00A00F30"/>
    <w:rsid w:val="00A00F89"/>
    <w:rsid w:val="00A01106"/>
    <w:rsid w:val="00A012E0"/>
    <w:rsid w:val="00A06CF4"/>
    <w:rsid w:val="00A10B0E"/>
    <w:rsid w:val="00A1171D"/>
    <w:rsid w:val="00A13468"/>
    <w:rsid w:val="00A15A61"/>
    <w:rsid w:val="00A17181"/>
    <w:rsid w:val="00A22952"/>
    <w:rsid w:val="00A22ED1"/>
    <w:rsid w:val="00A31DDE"/>
    <w:rsid w:val="00A36AC3"/>
    <w:rsid w:val="00A4065C"/>
    <w:rsid w:val="00A4093A"/>
    <w:rsid w:val="00A40B50"/>
    <w:rsid w:val="00A431BF"/>
    <w:rsid w:val="00A46C6D"/>
    <w:rsid w:val="00A5562B"/>
    <w:rsid w:val="00A56D49"/>
    <w:rsid w:val="00A60CED"/>
    <w:rsid w:val="00A6128F"/>
    <w:rsid w:val="00A62B0E"/>
    <w:rsid w:val="00A632D3"/>
    <w:rsid w:val="00A67BF3"/>
    <w:rsid w:val="00A67C2A"/>
    <w:rsid w:val="00A70440"/>
    <w:rsid w:val="00A711DE"/>
    <w:rsid w:val="00A7615D"/>
    <w:rsid w:val="00A81B82"/>
    <w:rsid w:val="00A8350C"/>
    <w:rsid w:val="00A92862"/>
    <w:rsid w:val="00A9473E"/>
    <w:rsid w:val="00A95B3B"/>
    <w:rsid w:val="00A96300"/>
    <w:rsid w:val="00AA1FAF"/>
    <w:rsid w:val="00AA3386"/>
    <w:rsid w:val="00AB68CD"/>
    <w:rsid w:val="00AC1E47"/>
    <w:rsid w:val="00AC681E"/>
    <w:rsid w:val="00AD0F92"/>
    <w:rsid w:val="00AD381C"/>
    <w:rsid w:val="00AD402E"/>
    <w:rsid w:val="00AD43E6"/>
    <w:rsid w:val="00AE04AC"/>
    <w:rsid w:val="00AE5782"/>
    <w:rsid w:val="00AF089E"/>
    <w:rsid w:val="00AF0E56"/>
    <w:rsid w:val="00AF1F72"/>
    <w:rsid w:val="00AF48FF"/>
    <w:rsid w:val="00B10991"/>
    <w:rsid w:val="00B13548"/>
    <w:rsid w:val="00B1780B"/>
    <w:rsid w:val="00B1799E"/>
    <w:rsid w:val="00B2024E"/>
    <w:rsid w:val="00B2075E"/>
    <w:rsid w:val="00B2168B"/>
    <w:rsid w:val="00B272C0"/>
    <w:rsid w:val="00B33983"/>
    <w:rsid w:val="00B33B2F"/>
    <w:rsid w:val="00B34698"/>
    <w:rsid w:val="00B36A9D"/>
    <w:rsid w:val="00B43F1D"/>
    <w:rsid w:val="00B44BB7"/>
    <w:rsid w:val="00B4590A"/>
    <w:rsid w:val="00B504D0"/>
    <w:rsid w:val="00B518A0"/>
    <w:rsid w:val="00B528DC"/>
    <w:rsid w:val="00B532C1"/>
    <w:rsid w:val="00B56631"/>
    <w:rsid w:val="00B62DAD"/>
    <w:rsid w:val="00B6589B"/>
    <w:rsid w:val="00B65CCF"/>
    <w:rsid w:val="00B65DC5"/>
    <w:rsid w:val="00B70982"/>
    <w:rsid w:val="00B72BB3"/>
    <w:rsid w:val="00B742CD"/>
    <w:rsid w:val="00B7750F"/>
    <w:rsid w:val="00B77557"/>
    <w:rsid w:val="00B86866"/>
    <w:rsid w:val="00B86DAD"/>
    <w:rsid w:val="00B901E8"/>
    <w:rsid w:val="00B922F3"/>
    <w:rsid w:val="00B93F2F"/>
    <w:rsid w:val="00B9406C"/>
    <w:rsid w:val="00B95069"/>
    <w:rsid w:val="00B96E3B"/>
    <w:rsid w:val="00BA1632"/>
    <w:rsid w:val="00BA2463"/>
    <w:rsid w:val="00BA6BE7"/>
    <w:rsid w:val="00BB08B1"/>
    <w:rsid w:val="00BB3809"/>
    <w:rsid w:val="00BB6830"/>
    <w:rsid w:val="00BB76ED"/>
    <w:rsid w:val="00BC2719"/>
    <w:rsid w:val="00BD040B"/>
    <w:rsid w:val="00BD0EA0"/>
    <w:rsid w:val="00BD28C2"/>
    <w:rsid w:val="00BD36AE"/>
    <w:rsid w:val="00BD6318"/>
    <w:rsid w:val="00BE03DD"/>
    <w:rsid w:val="00BE10D2"/>
    <w:rsid w:val="00BE1D37"/>
    <w:rsid w:val="00BE2D1A"/>
    <w:rsid w:val="00BE42FE"/>
    <w:rsid w:val="00BE4455"/>
    <w:rsid w:val="00BF30F5"/>
    <w:rsid w:val="00BF4164"/>
    <w:rsid w:val="00BF5D72"/>
    <w:rsid w:val="00BF7682"/>
    <w:rsid w:val="00C05C5A"/>
    <w:rsid w:val="00C06C20"/>
    <w:rsid w:val="00C07832"/>
    <w:rsid w:val="00C1270D"/>
    <w:rsid w:val="00C12DE0"/>
    <w:rsid w:val="00C15130"/>
    <w:rsid w:val="00C15B64"/>
    <w:rsid w:val="00C15C03"/>
    <w:rsid w:val="00C17153"/>
    <w:rsid w:val="00C2080C"/>
    <w:rsid w:val="00C231F6"/>
    <w:rsid w:val="00C2534D"/>
    <w:rsid w:val="00C40640"/>
    <w:rsid w:val="00C40CF6"/>
    <w:rsid w:val="00C4290C"/>
    <w:rsid w:val="00C47392"/>
    <w:rsid w:val="00C477E4"/>
    <w:rsid w:val="00C50FA1"/>
    <w:rsid w:val="00C53E17"/>
    <w:rsid w:val="00C53E89"/>
    <w:rsid w:val="00C57309"/>
    <w:rsid w:val="00C62ABD"/>
    <w:rsid w:val="00C632D7"/>
    <w:rsid w:val="00C637CC"/>
    <w:rsid w:val="00C6573E"/>
    <w:rsid w:val="00C65ACC"/>
    <w:rsid w:val="00C72BD1"/>
    <w:rsid w:val="00C73E61"/>
    <w:rsid w:val="00C81F86"/>
    <w:rsid w:val="00C855D5"/>
    <w:rsid w:val="00C87201"/>
    <w:rsid w:val="00C92D86"/>
    <w:rsid w:val="00C94890"/>
    <w:rsid w:val="00C96C0A"/>
    <w:rsid w:val="00C976BA"/>
    <w:rsid w:val="00CA02BA"/>
    <w:rsid w:val="00CA1A34"/>
    <w:rsid w:val="00CA3B7D"/>
    <w:rsid w:val="00CA6DB2"/>
    <w:rsid w:val="00CA7044"/>
    <w:rsid w:val="00CB18CC"/>
    <w:rsid w:val="00CB4EA5"/>
    <w:rsid w:val="00CB67FB"/>
    <w:rsid w:val="00CC420B"/>
    <w:rsid w:val="00CC6AD1"/>
    <w:rsid w:val="00CD077C"/>
    <w:rsid w:val="00CD2AA0"/>
    <w:rsid w:val="00CD3215"/>
    <w:rsid w:val="00CD6959"/>
    <w:rsid w:val="00CE01C6"/>
    <w:rsid w:val="00CE1460"/>
    <w:rsid w:val="00CE152E"/>
    <w:rsid w:val="00CE3095"/>
    <w:rsid w:val="00CE4454"/>
    <w:rsid w:val="00CE4751"/>
    <w:rsid w:val="00CE6E56"/>
    <w:rsid w:val="00CF0385"/>
    <w:rsid w:val="00CF3253"/>
    <w:rsid w:val="00CF5D41"/>
    <w:rsid w:val="00CF6E7A"/>
    <w:rsid w:val="00CF788F"/>
    <w:rsid w:val="00D02492"/>
    <w:rsid w:val="00D03C43"/>
    <w:rsid w:val="00D04202"/>
    <w:rsid w:val="00D0420E"/>
    <w:rsid w:val="00D11129"/>
    <w:rsid w:val="00D13BD5"/>
    <w:rsid w:val="00D16A00"/>
    <w:rsid w:val="00D2084C"/>
    <w:rsid w:val="00D26459"/>
    <w:rsid w:val="00D2694E"/>
    <w:rsid w:val="00D32238"/>
    <w:rsid w:val="00D35679"/>
    <w:rsid w:val="00D3602B"/>
    <w:rsid w:val="00D36309"/>
    <w:rsid w:val="00D42DCC"/>
    <w:rsid w:val="00D438BC"/>
    <w:rsid w:val="00D44D25"/>
    <w:rsid w:val="00D52CEB"/>
    <w:rsid w:val="00D53C9B"/>
    <w:rsid w:val="00D57145"/>
    <w:rsid w:val="00D57406"/>
    <w:rsid w:val="00D6140E"/>
    <w:rsid w:val="00D65B1D"/>
    <w:rsid w:val="00D72EFE"/>
    <w:rsid w:val="00D7577E"/>
    <w:rsid w:val="00D77912"/>
    <w:rsid w:val="00D80F18"/>
    <w:rsid w:val="00D826A9"/>
    <w:rsid w:val="00D8402E"/>
    <w:rsid w:val="00D855B9"/>
    <w:rsid w:val="00D871C3"/>
    <w:rsid w:val="00D87A39"/>
    <w:rsid w:val="00D91A7D"/>
    <w:rsid w:val="00D977FD"/>
    <w:rsid w:val="00DA0A1E"/>
    <w:rsid w:val="00DA3C97"/>
    <w:rsid w:val="00DB2713"/>
    <w:rsid w:val="00DB3059"/>
    <w:rsid w:val="00DB3509"/>
    <w:rsid w:val="00DB5F41"/>
    <w:rsid w:val="00DC0A77"/>
    <w:rsid w:val="00DC7CC9"/>
    <w:rsid w:val="00DD0FBF"/>
    <w:rsid w:val="00DD5B96"/>
    <w:rsid w:val="00DD5EA5"/>
    <w:rsid w:val="00DE10E6"/>
    <w:rsid w:val="00DE1131"/>
    <w:rsid w:val="00DE1975"/>
    <w:rsid w:val="00DE1D82"/>
    <w:rsid w:val="00DE23E3"/>
    <w:rsid w:val="00DE3D54"/>
    <w:rsid w:val="00DE4CDB"/>
    <w:rsid w:val="00DE6B61"/>
    <w:rsid w:val="00DF0A6E"/>
    <w:rsid w:val="00DF2588"/>
    <w:rsid w:val="00DF6D07"/>
    <w:rsid w:val="00E0116C"/>
    <w:rsid w:val="00E040C0"/>
    <w:rsid w:val="00E13D25"/>
    <w:rsid w:val="00E16983"/>
    <w:rsid w:val="00E26C89"/>
    <w:rsid w:val="00E30782"/>
    <w:rsid w:val="00E30793"/>
    <w:rsid w:val="00E310FF"/>
    <w:rsid w:val="00E40EC8"/>
    <w:rsid w:val="00E54B78"/>
    <w:rsid w:val="00E56DF5"/>
    <w:rsid w:val="00E5793B"/>
    <w:rsid w:val="00E61E95"/>
    <w:rsid w:val="00E65124"/>
    <w:rsid w:val="00E6665C"/>
    <w:rsid w:val="00E76FC3"/>
    <w:rsid w:val="00E774F0"/>
    <w:rsid w:val="00E80A37"/>
    <w:rsid w:val="00E813DD"/>
    <w:rsid w:val="00E946BC"/>
    <w:rsid w:val="00EB12B7"/>
    <w:rsid w:val="00EB6B9E"/>
    <w:rsid w:val="00EC2D3B"/>
    <w:rsid w:val="00EC2F6A"/>
    <w:rsid w:val="00EC3D4E"/>
    <w:rsid w:val="00EC4A48"/>
    <w:rsid w:val="00EC55C6"/>
    <w:rsid w:val="00ED1CB9"/>
    <w:rsid w:val="00ED1E9F"/>
    <w:rsid w:val="00ED47E5"/>
    <w:rsid w:val="00EE11A3"/>
    <w:rsid w:val="00EE3531"/>
    <w:rsid w:val="00EE4109"/>
    <w:rsid w:val="00EE6ACC"/>
    <w:rsid w:val="00EF1EBA"/>
    <w:rsid w:val="00EF3AE7"/>
    <w:rsid w:val="00F00C85"/>
    <w:rsid w:val="00F0112A"/>
    <w:rsid w:val="00F04693"/>
    <w:rsid w:val="00F050CE"/>
    <w:rsid w:val="00F06359"/>
    <w:rsid w:val="00F12DD9"/>
    <w:rsid w:val="00F14FBB"/>
    <w:rsid w:val="00F23B4C"/>
    <w:rsid w:val="00F23FAA"/>
    <w:rsid w:val="00F2596A"/>
    <w:rsid w:val="00F2761F"/>
    <w:rsid w:val="00F31563"/>
    <w:rsid w:val="00F329AC"/>
    <w:rsid w:val="00F35623"/>
    <w:rsid w:val="00F35D97"/>
    <w:rsid w:val="00F42B7C"/>
    <w:rsid w:val="00F47DBC"/>
    <w:rsid w:val="00F50626"/>
    <w:rsid w:val="00F53194"/>
    <w:rsid w:val="00F611E8"/>
    <w:rsid w:val="00F67120"/>
    <w:rsid w:val="00F70F3A"/>
    <w:rsid w:val="00F72C80"/>
    <w:rsid w:val="00F72D6B"/>
    <w:rsid w:val="00F73446"/>
    <w:rsid w:val="00F761DE"/>
    <w:rsid w:val="00F8174C"/>
    <w:rsid w:val="00F81A40"/>
    <w:rsid w:val="00F82C13"/>
    <w:rsid w:val="00F83C00"/>
    <w:rsid w:val="00F8412C"/>
    <w:rsid w:val="00F87405"/>
    <w:rsid w:val="00F90ED0"/>
    <w:rsid w:val="00F92EB6"/>
    <w:rsid w:val="00F967C7"/>
    <w:rsid w:val="00FA3111"/>
    <w:rsid w:val="00FA44F3"/>
    <w:rsid w:val="00FA62BF"/>
    <w:rsid w:val="00FA7316"/>
    <w:rsid w:val="00FB1487"/>
    <w:rsid w:val="00FB1C87"/>
    <w:rsid w:val="00FB1CF9"/>
    <w:rsid w:val="00FC2317"/>
    <w:rsid w:val="00FC244B"/>
    <w:rsid w:val="00FC6C7C"/>
    <w:rsid w:val="00FD4F48"/>
    <w:rsid w:val="00FD5A48"/>
    <w:rsid w:val="00FE21C7"/>
    <w:rsid w:val="00FE6978"/>
    <w:rsid w:val="00FF06BE"/>
    <w:rsid w:val="00FF0D74"/>
    <w:rsid w:val="00FF2D4D"/>
    <w:rsid w:val="00FF5070"/>
    <w:rsid w:val="00FF79C7"/>
    <w:rsid w:val="0340063E"/>
    <w:rsid w:val="1BC731FC"/>
    <w:rsid w:val="2F592C2C"/>
    <w:rsid w:val="309838BD"/>
    <w:rsid w:val="3CCC22DD"/>
    <w:rsid w:val="480365BC"/>
    <w:rsid w:val="4EAC73E8"/>
    <w:rsid w:val="7B3175F3"/>
    <w:rsid w:val="7C5365A8"/>
    <w:rsid w:val="7FFE229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semiHidden/>
    <w:unhideWhenUsed/>
    <w:qFormat/>
    <w:uiPriority w:val="99"/>
    <w:rPr>
      <w:vertAlign w:val="superscript"/>
    </w:rPr>
  </w:style>
  <w:style w:type="character" w:styleId="5">
    <w:name w:val="Hyperlink"/>
    <w:unhideWhenUsed/>
    <w:qFormat/>
    <w:uiPriority w:val="0"/>
    <w:rPr>
      <w:color w:val="0000FF"/>
      <w:u w:val="single"/>
    </w:rPr>
  </w:style>
  <w:style w:type="paragraph" w:styleId="6">
    <w:name w:val="Balloon Text"/>
    <w:basedOn w:val="1"/>
    <w:link w:val="14"/>
    <w:semiHidden/>
    <w:unhideWhenUsed/>
    <w:qFormat/>
    <w:uiPriority w:val="99"/>
    <w:rPr>
      <w:rFonts w:ascii="Tahoma" w:hAnsi="Tahoma" w:cs="Tahoma"/>
      <w:sz w:val="16"/>
      <w:szCs w:val="16"/>
    </w:rPr>
  </w:style>
  <w:style w:type="paragraph" w:styleId="7">
    <w:name w:val="footnote text"/>
    <w:basedOn w:val="1"/>
    <w:link w:val="13"/>
    <w:semiHidden/>
    <w:unhideWhenUsed/>
    <w:qFormat/>
    <w:uiPriority w:val="99"/>
    <w:rPr>
      <w:sz w:val="20"/>
      <w:szCs w:val="20"/>
    </w:rPr>
  </w:style>
  <w:style w:type="paragraph" w:styleId="8">
    <w:name w:val="header"/>
    <w:basedOn w:val="1"/>
    <w:link w:val="15"/>
    <w:unhideWhenUsed/>
    <w:qFormat/>
    <w:uiPriority w:val="99"/>
    <w:pPr>
      <w:tabs>
        <w:tab w:val="center" w:pos="4677"/>
        <w:tab w:val="right" w:pos="9355"/>
      </w:tabs>
    </w:pPr>
  </w:style>
  <w:style w:type="paragraph" w:styleId="9">
    <w:name w:val="Body Text Indent"/>
    <w:basedOn w:val="1"/>
    <w:link w:val="19"/>
    <w:qFormat/>
    <w:uiPriority w:val="0"/>
    <w:pPr>
      <w:ind w:firstLine="720"/>
    </w:pPr>
    <w:rPr>
      <w:sz w:val="28"/>
      <w:szCs w:val="20"/>
      <w:lang w:val="en-US"/>
    </w:rPr>
  </w:style>
  <w:style w:type="paragraph" w:styleId="10">
    <w:name w:val="footer"/>
    <w:basedOn w:val="1"/>
    <w:link w:val="16"/>
    <w:unhideWhenUsed/>
    <w:qFormat/>
    <w:uiPriority w:val="99"/>
    <w:pPr>
      <w:tabs>
        <w:tab w:val="center" w:pos="4677"/>
        <w:tab w:val="right" w:pos="9355"/>
      </w:tabs>
    </w:pPr>
  </w:style>
  <w:style w:type="paragraph" w:styleId="11">
    <w:name w:val="Normal (Web)"/>
    <w:basedOn w:val="1"/>
    <w:semiHidden/>
    <w:unhideWhenUsed/>
    <w:qFormat/>
    <w:uiPriority w:val="99"/>
    <w:pPr>
      <w:spacing w:before="100" w:beforeAutospacing="1" w:after="100" w:afterAutospacing="1"/>
    </w:pPr>
  </w:style>
  <w:style w:type="table" w:styleId="12">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Текст сноски Знак"/>
    <w:basedOn w:val="2"/>
    <w:link w:val="7"/>
    <w:semiHidden/>
    <w:qFormat/>
    <w:uiPriority w:val="99"/>
    <w:rPr>
      <w:rFonts w:ascii="Times New Roman" w:hAnsi="Times New Roman" w:eastAsia="Times New Roman" w:cs="Times New Roman"/>
      <w:sz w:val="20"/>
      <w:szCs w:val="20"/>
      <w:lang w:eastAsia="ru-RU"/>
    </w:rPr>
  </w:style>
  <w:style w:type="character" w:customStyle="1" w:styleId="14">
    <w:name w:val="Текст выноски Знак"/>
    <w:basedOn w:val="2"/>
    <w:link w:val="6"/>
    <w:semiHidden/>
    <w:qFormat/>
    <w:uiPriority w:val="99"/>
    <w:rPr>
      <w:rFonts w:ascii="Tahoma" w:hAnsi="Tahoma" w:eastAsia="Times New Roman" w:cs="Tahoma"/>
      <w:sz w:val="16"/>
      <w:szCs w:val="16"/>
      <w:lang w:eastAsia="ru-RU"/>
    </w:rPr>
  </w:style>
  <w:style w:type="character" w:customStyle="1" w:styleId="15">
    <w:name w:val="Верхний колонтитул Знак"/>
    <w:basedOn w:val="2"/>
    <w:link w:val="8"/>
    <w:qFormat/>
    <w:uiPriority w:val="99"/>
    <w:rPr>
      <w:rFonts w:ascii="Times New Roman" w:hAnsi="Times New Roman" w:eastAsia="Times New Roman" w:cs="Times New Roman"/>
      <w:sz w:val="24"/>
      <w:szCs w:val="24"/>
      <w:lang w:eastAsia="ru-RU"/>
    </w:rPr>
  </w:style>
  <w:style w:type="character" w:customStyle="1" w:styleId="16">
    <w:name w:val="Нижний колонтитул Знак"/>
    <w:basedOn w:val="2"/>
    <w:link w:val="10"/>
    <w:qFormat/>
    <w:uiPriority w:val="99"/>
    <w:rPr>
      <w:rFonts w:ascii="Times New Roman" w:hAnsi="Times New Roman" w:eastAsia="Times New Roman" w:cs="Times New Roman"/>
      <w:sz w:val="24"/>
      <w:szCs w:val="24"/>
      <w:lang w:eastAsia="ru-RU"/>
    </w:rPr>
  </w:style>
  <w:style w:type="paragraph" w:styleId="17">
    <w:name w:val="No Spacing"/>
    <w:qFormat/>
    <w:uiPriority w:val="99"/>
    <w:pPr>
      <w:spacing w:after="0" w:line="240" w:lineRule="auto"/>
    </w:pPr>
    <w:rPr>
      <w:rFonts w:ascii="Times New Roman" w:hAnsi="Times New Roman" w:eastAsia="Times New Roman" w:cs="Times New Roman"/>
      <w:sz w:val="24"/>
      <w:szCs w:val="24"/>
      <w:lang w:val="ru-RU" w:eastAsia="ru-RU" w:bidi="ar-SA"/>
    </w:rPr>
  </w:style>
  <w:style w:type="paragraph" w:customStyle="1" w:styleId="18">
    <w:name w:val="Знак Знак Знак Знак Знак Знак Знак"/>
    <w:basedOn w:val="1"/>
    <w:qFormat/>
    <w:uiPriority w:val="0"/>
    <w:pPr>
      <w:widowControl w:val="0"/>
      <w:adjustRightInd w:val="0"/>
      <w:spacing w:after="160" w:line="240" w:lineRule="exact"/>
      <w:jc w:val="right"/>
    </w:pPr>
    <w:rPr>
      <w:sz w:val="20"/>
      <w:szCs w:val="20"/>
      <w:lang w:val="en-GB" w:eastAsia="en-US"/>
    </w:rPr>
  </w:style>
  <w:style w:type="character" w:customStyle="1" w:styleId="19">
    <w:name w:val="Основной текст с отступом Знак"/>
    <w:basedOn w:val="2"/>
    <w:link w:val="9"/>
    <w:qFormat/>
    <w:uiPriority w:val="0"/>
    <w:rPr>
      <w:rFonts w:ascii="Times New Roman" w:hAnsi="Times New Roman" w:eastAsia="Times New Roman" w:cs="Times New Roman"/>
      <w:sz w:val="28"/>
      <w:szCs w:val="20"/>
      <w:lang w:val="en-US" w:eastAsia="ru-RU"/>
    </w:rPr>
  </w:style>
  <w:style w:type="paragraph" w:styleId="20">
    <w:name w:val="List Paragraph"/>
    <w:basedOn w:val="1"/>
    <w:qFormat/>
    <w:uiPriority w:val="34"/>
    <w:pPr>
      <w:ind w:left="720"/>
      <w:contextualSpacing/>
    </w:pPr>
  </w:style>
  <w:style w:type="paragraph" w:customStyle="1" w:styleId="21">
    <w:name w:val="ConsPlusNormal"/>
    <w:qFormat/>
    <w:uiPriority w:val="99"/>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22">
    <w:name w:val="Основной шрифт абзаца1"/>
    <w:qFormat/>
    <w:uiPriority w:val="0"/>
  </w:style>
  <w:style w:type="paragraph" w:customStyle="1" w:styleId="23">
    <w:name w:val="Standard"/>
    <w:qFormat/>
    <w:uiPriority w:val="0"/>
    <w:pPr>
      <w:widowControl w:val="0"/>
      <w:suppressAutoHyphens/>
      <w:autoSpaceDN w:val="0"/>
      <w:spacing w:after="0" w:line="240" w:lineRule="auto"/>
      <w:textAlignment w:val="baseline"/>
    </w:pPr>
    <w:rPr>
      <w:rFonts w:ascii="Arial" w:hAnsi="Arial" w:eastAsia="Times New Roman" w:cs="Arial"/>
      <w:sz w:val="20"/>
      <w:szCs w:val="20"/>
      <w:lang w:val="ru-RU" w:eastAsia="zh-CN" w:bidi="ar-SA"/>
    </w:rPr>
  </w:style>
  <w:style w:type="paragraph" w:customStyle="1" w:styleId="24">
    <w:name w:val="msonormalcxspmiddle"/>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8B7520-AECA-41CD-8105-2D746AE4A7ED}">
  <ds:schemaRefs/>
</ds:datastoreItem>
</file>

<file path=docProps/app.xml><?xml version="1.0" encoding="utf-8"?>
<Properties xmlns="http://schemas.openxmlformats.org/officeDocument/2006/extended-properties" xmlns:vt="http://schemas.openxmlformats.org/officeDocument/2006/docPropsVTypes">
  <Template>Normal</Template>
  <Pages>8</Pages>
  <Words>1738</Words>
  <Characters>9912</Characters>
  <Lines>82</Lines>
  <Paragraphs>23</Paragraphs>
  <TotalTime>0</TotalTime>
  <ScaleCrop>false</ScaleCrop>
  <LinksUpToDate>false</LinksUpToDate>
  <CharactersWithSpaces>11627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2024-10-17T12:01:00Z</dcterms:created>
  <dc:creator>Евгения И. Малыгина</dc:creator>
  <cp:lastModifiedBy>Таисия Липатник�</cp:lastModifiedBy>
  <cp:lastPrinted>2024-10-22T08:58:00Z</cp:lastPrinted>
  <dcterms:modified xsi:type="dcterms:W3CDTF">2025-12-01T07:37:20Z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BAF6EA48C36744FE96C26D08BDE870AD_12</vt:lpwstr>
  </property>
</Properties>
</file>