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46F00">
      <w:pPr>
        <w:pStyle w:val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14:paraId="143FFBAA">
      <w:pPr>
        <w:pStyle w:val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РОДЫГИНСКОГО СЕЛЬСКОГО ПОСЕЛЕНИЯ</w:t>
      </w:r>
    </w:p>
    <w:p w14:paraId="485DA92D">
      <w:pPr>
        <w:pStyle w:val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РАЙОНА КИРОВСКОЙ ОБЛАСТИ</w:t>
      </w:r>
    </w:p>
    <w:p w14:paraId="3B2E7214">
      <w:pPr>
        <w:pStyle w:val="15"/>
        <w:jc w:val="center"/>
        <w:rPr>
          <w:b/>
          <w:sz w:val="28"/>
          <w:szCs w:val="28"/>
        </w:rPr>
      </w:pPr>
    </w:p>
    <w:p w14:paraId="5A83C1B3">
      <w:pPr>
        <w:pStyle w:val="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CB1DF77">
      <w:pPr>
        <w:pStyle w:val="15"/>
        <w:jc w:val="both"/>
        <w:rPr>
          <w:sz w:val="28"/>
          <w:szCs w:val="28"/>
        </w:rPr>
      </w:pPr>
      <w:r>
        <w:rPr>
          <w:sz w:val="28"/>
          <w:szCs w:val="28"/>
        </w:rPr>
        <w:t>19.04.2022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№43</w:t>
      </w:r>
    </w:p>
    <w:p w14:paraId="25BEE7F9">
      <w:pPr>
        <w:pStyle w:val="15"/>
        <w:tabs>
          <w:tab w:val="left" w:pos="3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д.Родыгино</w:t>
      </w:r>
    </w:p>
    <w:p w14:paraId="2F5FE1EE">
      <w:pPr>
        <w:pStyle w:val="15"/>
        <w:tabs>
          <w:tab w:val="left" w:pos="3200"/>
        </w:tabs>
        <w:jc w:val="both"/>
        <w:rPr>
          <w:sz w:val="28"/>
          <w:szCs w:val="28"/>
        </w:rPr>
      </w:pPr>
    </w:p>
    <w:p w14:paraId="716EF947">
      <w:pPr>
        <w:pStyle w:val="16"/>
        <w:tabs>
          <w:tab w:val="left" w:pos="320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местных нормативов градостроительного проектирования муниципального образования Родыгинское сельское поселение</w:t>
      </w:r>
    </w:p>
    <w:p w14:paraId="33027FE5">
      <w:pPr>
        <w:pStyle w:val="16"/>
        <w:tabs>
          <w:tab w:val="left" w:pos="320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  района Кировской области</w:t>
      </w:r>
    </w:p>
    <w:p w14:paraId="48EEB959">
      <w:pPr>
        <w:pStyle w:val="16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2F381FA7">
      <w:pPr>
        <w:pStyle w:val="16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соответствии со статьёй 29.4 Градостроительного кодекса Российской Федерации от 29.12.2004 № 190-ФЗ, частью 1 статьи 10 Закона Кировской области от 28.09.2006 № 44-ЗО «О регулировании градостроительной деятельности в Кировской области» администрация Родыгинского сельского поселения  Советского района Кировской области ПОСТАНОВЛЯЕТ:</w:t>
      </w:r>
    </w:p>
    <w:p w14:paraId="4D9758E1">
      <w:pPr>
        <w:pStyle w:val="16"/>
        <w:spacing w:after="0"/>
        <w:jc w:val="both"/>
      </w:pPr>
      <w:r>
        <w:rPr>
          <w:sz w:val="28"/>
          <w:szCs w:val="28"/>
        </w:rPr>
        <w:t xml:space="preserve">1.Утвердить местные нормативы градостроительного проектирования Советского муниципального района Кировской области согласно </w:t>
      </w:r>
      <w:r>
        <w:fldChar w:fldCharType="begin"/>
      </w:r>
      <w:r>
        <w:instrText xml:space="preserve"> HYPERLINK  "https://xn--43-dlcmpgf3a0adk.xn--p1ai/city/koliyn-pos/dokuments/sadm/проект постановления по нормативам.docx" </w:instrText>
      </w:r>
      <w:r>
        <w:fldChar w:fldCharType="separate"/>
      </w:r>
      <w:r>
        <w:rPr>
          <w:sz w:val="28"/>
          <w:szCs w:val="28"/>
        </w:rPr>
        <w:t>приложению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14:paraId="571B857B">
      <w:pPr>
        <w:pStyle w:val="16"/>
        <w:spacing w:after="0"/>
        <w:jc w:val="both"/>
      </w:pPr>
      <w:r>
        <w:rPr>
          <w:sz w:val="28"/>
          <w:szCs w:val="28"/>
        </w:rPr>
        <w:t>2.</w:t>
      </w:r>
      <w:r>
        <w:rPr>
          <w:sz w:val="28"/>
          <w:szCs w:val="28"/>
          <w:shd w:val="clear" w:color="auto" w:fill="FFFFFF"/>
        </w:rPr>
        <w:t>Опубликовать  настоящее постановление в Информационном бюллетене органов местного самоуправления муниципального образования Родыгинское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 </w:t>
      </w:r>
      <w:r>
        <w:fldChar w:fldCharType="begin"/>
      </w:r>
      <w:r>
        <w:instrText xml:space="preserve"> HYPERLINK  "http://www.xn--43-dlcmpgf3a0adk.xn--p1ai/" </w:instrText>
      </w:r>
      <w:r>
        <w:fldChar w:fldCharType="separate"/>
      </w:r>
      <w:r>
        <w:rPr>
          <w:sz w:val="28"/>
          <w:szCs w:val="28"/>
          <w:shd w:val="clear" w:color="auto" w:fill="FFFFFF"/>
          <w:lang w:val="en-US"/>
        </w:rPr>
        <w:t>www</w:t>
      </w:r>
      <w:r>
        <w:rPr>
          <w:sz w:val="28"/>
          <w:szCs w:val="28"/>
          <w:shd w:val="clear" w:color="auto" w:fill="FFFFFF"/>
          <w:lang w:val="en-US"/>
        </w:rPr>
        <w:fldChar w:fldCharType="end"/>
      </w:r>
      <w:r>
        <w:fldChar w:fldCharType="begin"/>
      </w:r>
      <w:r>
        <w:instrText xml:space="preserve"> HYPERLINK  "http://www.xn--43-dlcmpgf3a0adk.xn--p1ai/" </w:instrText>
      </w:r>
      <w:r>
        <w:fldChar w:fldCharType="separate"/>
      </w:r>
      <w:r>
        <w:rPr>
          <w:sz w:val="28"/>
          <w:szCs w:val="28"/>
          <w:shd w:val="clear" w:color="auto" w:fill="FFFFFF"/>
        </w:rPr>
        <w:t>.советский43.рф</w:t>
      </w:r>
      <w:r>
        <w:rPr>
          <w:sz w:val="28"/>
          <w:szCs w:val="28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.</w:t>
      </w:r>
    </w:p>
    <w:p w14:paraId="409CC73E">
      <w:pPr>
        <w:pStyle w:val="16"/>
        <w:spacing w:after="0"/>
        <w:jc w:val="both"/>
        <w:rPr>
          <w:sz w:val="28"/>
          <w:szCs w:val="28"/>
        </w:rPr>
      </w:pPr>
    </w:p>
    <w:p w14:paraId="6BF5DA5E">
      <w:pPr>
        <w:pStyle w:val="15"/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Глава администрации</w:t>
      </w:r>
    </w:p>
    <w:p w14:paraId="38A0DDAC">
      <w:pPr>
        <w:pStyle w:val="15"/>
        <w:tabs>
          <w:tab w:val="left" w:pos="3200"/>
        </w:tabs>
        <w:jc w:val="both"/>
        <w:rPr>
          <w:rFonts w:eastAsia="Times New Roman" w:cs="Times New Roman"/>
          <w:sz w:val="28"/>
          <w:szCs w:val="28"/>
          <w:lang w:eastAsia="ar-SA"/>
        </w:rPr>
      </w:pPr>
      <w:r>
        <w:rPr>
          <w:rFonts w:eastAsia="Times New Roman" w:cs="Times New Roman"/>
          <w:sz w:val="28"/>
          <w:szCs w:val="28"/>
          <w:lang w:eastAsia="ar-SA"/>
        </w:rPr>
        <w:t>Родыгинского сельского поселения    А.А.Зыкова</w:t>
      </w:r>
    </w:p>
    <w:p w14:paraId="6388B38B">
      <w:pPr>
        <w:pStyle w:val="8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</w:t>
      </w:r>
    </w:p>
    <w:p w14:paraId="7A8BE99D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D0F22F9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2A9664F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C7BA4BC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9014BCF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C659F29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D2AF5B0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E20F5B0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7544929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D17C801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045E58E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6E0D9EE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0649A04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82D64CB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A64BD84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7F36301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19287390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7E3C4F5">
      <w:pPr>
        <w:pStyle w:val="8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Утверждены</w:t>
      </w:r>
    </w:p>
    <w:p w14:paraId="32DCF2D1">
      <w:pPr>
        <w:pStyle w:val="8"/>
        <w:jc w:val="right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постановлением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администрации </w:t>
      </w:r>
    </w:p>
    <w:p w14:paraId="7E6BC24D">
      <w:pPr>
        <w:pStyle w:val="8"/>
        <w:jc w:val="right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Родыгинского сельского поселения</w:t>
      </w:r>
    </w:p>
    <w:p w14:paraId="10E0E292">
      <w:pPr>
        <w:pStyle w:val="8"/>
        <w:jc w:val="right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43</w:t>
      </w:r>
      <w:r>
        <w:rPr>
          <w:rFonts w:ascii="Times New Roman" w:hAnsi="Times New Roman" w:cs="Times New Roman"/>
          <w:bCs/>
          <w:sz w:val="24"/>
          <w:szCs w:val="24"/>
        </w:rPr>
        <w:t xml:space="preserve"> от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19</w:t>
      </w:r>
      <w:r>
        <w:rPr>
          <w:rFonts w:ascii="Times New Roman" w:hAnsi="Times New Roman" w:cs="Times New Roman"/>
          <w:bCs/>
          <w:sz w:val="24"/>
          <w:szCs w:val="24"/>
        </w:rPr>
        <w:t>.0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22</w:t>
      </w:r>
    </w:p>
    <w:p w14:paraId="22232854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jc w:val="right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F1E834B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МЕСТНЫЕ НОРМАТИВЫ</w:t>
      </w:r>
    </w:p>
    <w:p w14:paraId="47A5D7E7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ГРАДОСТРОИТЕЛЬНОГО ПРОЕКТИРОВАНИЯ</w:t>
      </w:r>
    </w:p>
    <w:p w14:paraId="066C2A92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РОДЫГИНСКОГО СЕЛЬСКОГО ПОСЕЛЕНИЯ</w:t>
      </w:r>
    </w:p>
    <w:p w14:paraId="4A9220C1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СОВЕТСКОГО РАЙОНА КИРОВСКОЙ ОБЛАСТИ</w:t>
      </w:r>
    </w:p>
    <w:p w14:paraId="1BEB5031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sz w:val="20"/>
          <w:szCs w:val="20"/>
        </w:rPr>
      </w:pPr>
    </w:p>
    <w:p w14:paraId="7B60A72E">
      <w:pPr>
        <w:pStyle w:val="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jc w:val="center"/>
        <w:textAlignment w:val="auto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ОБЛАСТЬ ПРИМЕНЕНИЯ.</w:t>
      </w:r>
    </w:p>
    <w:p w14:paraId="77A7F0D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НАЗНАЧЕНИЕ И ОБЛАСТЬ ПРИМЕНЕНИЯ МЕСТНЫХ НОРМАТИВОВ ГРАДОСТРОИТЕЛЬНОГО ПРОЕКТИРОВАНИЯ</w:t>
      </w:r>
    </w:p>
    <w:p w14:paraId="338E9368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Autospacing="0" w:line="240" w:lineRule="auto"/>
        <w:ind w:left="0" w:right="0" w:firstLine="0"/>
        <w:textAlignment w:val="auto"/>
        <w:outlineLvl w:val="1"/>
        <w:rPr>
          <w:rFonts w:ascii="Times New Roman" w:hAnsi="Times New Roman" w:cs="Times New Roman"/>
          <w:sz w:val="20"/>
          <w:szCs w:val="20"/>
        </w:rPr>
      </w:pPr>
    </w:p>
    <w:p w14:paraId="1CF77099">
      <w:pPr>
        <w:pStyle w:val="10"/>
        <w:keepNext w:val="0"/>
        <w:keepLines w:val="0"/>
        <w:pageBreakBefore w:val="0"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right="0" w:rightChars="0"/>
        <w:jc w:val="both"/>
        <w:textAlignment w:val="auto"/>
        <w:rPr>
          <w:rFonts w:ascii="Times New Roman" w:hAnsi="Times New Roman"/>
          <w:smallCaps/>
          <w:vanish/>
          <w:sz w:val="20"/>
          <w:szCs w:val="20"/>
        </w:rPr>
      </w:pPr>
      <w:r>
        <w:rPr>
          <w:rFonts w:hint="default" w:ascii="Times New Roman" w:hAnsi="Times New Roman"/>
          <w:sz w:val="20"/>
          <w:szCs w:val="20"/>
          <w:lang w:val="ru-RU"/>
        </w:rPr>
        <w:t>1.1</w:t>
      </w:r>
      <w:r>
        <w:rPr>
          <w:rFonts w:ascii="Times New Roman" w:hAnsi="Times New Roman"/>
          <w:sz w:val="20"/>
          <w:szCs w:val="20"/>
        </w:rPr>
        <w:t xml:space="preserve">Местные нормативы градостроительного проектирования Родыгинского сельского поселения Советского района Кировской области (далее – местные нормативы) подготовлены в соответствии с требованиями статьи 29.4 Градостроительного кодекса Российской Федерации, Региональными нормативами градостроительного проектирования Кировской области,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"consultantplus://offline/ref=E05D6B778E0582D135ABEDE420233BB0FF25F289C2DF420DC9F54947EA74A5D4437F8FF072B0FD657C4871BBz7M" </w:instrText>
      </w:r>
      <w:r>
        <w:rPr>
          <w:sz w:val="20"/>
          <w:szCs w:val="20"/>
        </w:rPr>
        <w:fldChar w:fldCharType="separate"/>
      </w:r>
      <w:r>
        <w:rPr>
          <w:rFonts w:ascii="Times New Roman" w:hAnsi="Times New Roman"/>
          <w:sz w:val="20"/>
          <w:szCs w:val="20"/>
        </w:rPr>
        <w:t>статьи 17</w:t>
      </w:r>
      <w:r>
        <w:rPr>
          <w:rFonts w:ascii="Times New Roman" w:hAnsi="Times New Roman"/>
          <w:sz w:val="20"/>
          <w:szCs w:val="20"/>
        </w:rPr>
        <w:fldChar w:fldCharType="end"/>
      </w:r>
      <w:r>
        <w:rPr>
          <w:rFonts w:ascii="Times New Roman" w:hAnsi="Times New Roman"/>
          <w:sz w:val="20"/>
          <w:szCs w:val="20"/>
        </w:rPr>
        <w:t xml:space="preserve"> Закона Кировской области от 28.09.2006 № 44-ЗО «О регулировании градостроительной деятельности в Кировской области», Порядком подготовки, утверждения местных нормативов градостроительного проектирования Родыгинского сельского поселения Советского района Кировской области и внесения изменений в них, утверждённых решением Родыгинской сельской  Думы Советского района Кировской области от 07.04.2015№9 (далее - Местные Нормативы)</w:t>
      </w:r>
      <w:r>
        <w:rPr>
          <w:rFonts w:ascii="Times New Roman" w:hAnsi="Times New Roman"/>
          <w:smallCaps/>
          <w:vanish/>
          <w:sz w:val="20"/>
          <w:szCs w:val="20"/>
        </w:rPr>
        <w:t xml:space="preserve"> Порядком подготовки, утверждения местных нормативов градостроительного проектирования г.Советск Кировской области и внесения в них изменений, утвержденном  постановление администрации  г.Советск от _____№.__</w:t>
      </w:r>
    </w:p>
    <w:p w14:paraId="1258FD25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sz w:val="20"/>
          <w:szCs w:val="20"/>
        </w:rPr>
      </w:pPr>
      <w:r>
        <w:rPr>
          <w:rFonts w:ascii="Times New Roman" w:hAnsi="Times New Roman"/>
          <w:smallCaps/>
          <w:vanish/>
          <w:sz w:val="20"/>
          <w:szCs w:val="20"/>
        </w:rPr>
        <w:t xml:space="preserve"> Порядком подготовки, утверждения местных нормативов градостроительного проектирования г.Советск Кировской области и внесения в них изменений, утвержденном  постановление администрации  г.Советск от _____№.__</w:t>
      </w:r>
    </w:p>
    <w:p w14:paraId="4E0157E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mallCaps/>
          <w:vanish/>
          <w:sz w:val="20"/>
          <w:szCs w:val="20"/>
        </w:rPr>
        <w:t xml:space="preserve"> Порядком подготовки, утверждения местных нормативов градостроительного проектирования г.Советск Кировской области и внесения в них изменений, утвержденном  постановление администрации  г.Советск от _____№.__</w:t>
      </w:r>
    </w:p>
    <w:p w14:paraId="7191BDE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mallCaps/>
          <w:vanish/>
          <w:sz w:val="20"/>
          <w:szCs w:val="20"/>
        </w:rPr>
        <w:t>Порядком подготовки, утверждения местных нормативов градостроительного проектирования г.Советск Кировской области и внесения в них изменений, утвержденном  постановление администрации  г.Советск от _____№.__</w:t>
      </w:r>
    </w:p>
    <w:p w14:paraId="36E92CC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sz w:val="20"/>
          <w:szCs w:val="20"/>
        </w:rPr>
      </w:pPr>
      <w:r>
        <w:rPr>
          <w:rFonts w:ascii="Times New Roman" w:hAnsi="Times New Roman"/>
          <w:smallCaps/>
          <w:vanish/>
          <w:sz w:val="20"/>
          <w:szCs w:val="20"/>
        </w:rPr>
        <w:t>Порядком подготовки, утверждения местных нормативов градостроительного проектирования г.Советск Кировской области и внесения в них изменений, утвержденном  постановление администрации  г.Советск от _____№.__</w:t>
      </w:r>
    </w:p>
    <w:p w14:paraId="68009DB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5DB8B9E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Местные Нормативы призваны обеспечивать благоприятные условия среды жизнедеятельности населения Родыгинского сельского поселения Советского района Кировской области путем введения требований к организации территории и расчетных градостроительных показателей.</w:t>
      </w:r>
    </w:p>
    <w:p w14:paraId="2E86394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smallCaps/>
          <w:color w:val="000000"/>
          <w:sz w:val="20"/>
          <w:szCs w:val="20"/>
        </w:rPr>
        <w:t xml:space="preserve"> 1.2.  </w:t>
      </w:r>
      <w:r>
        <w:rPr>
          <w:rFonts w:ascii="Times New Roman" w:hAnsi="Times New Roman"/>
          <w:sz w:val="20"/>
          <w:szCs w:val="20"/>
        </w:rPr>
        <w:t xml:space="preserve">Местные </w:t>
      </w:r>
      <w:r>
        <w:rPr>
          <w:rFonts w:ascii="Times New Roman" w:hAnsi="Times New Roman"/>
          <w:smallCaps/>
          <w:vanish/>
          <w:color w:val="000000"/>
          <w:sz w:val="20"/>
          <w:szCs w:val="20"/>
        </w:rPr>
        <w:t xml:space="preserve">       1.3. </w:t>
      </w:r>
      <w:r>
        <w:rPr>
          <w:rFonts w:ascii="Times New Roman" w:hAnsi="Times New Roman"/>
          <w:bCs/>
          <w:sz w:val="20"/>
          <w:szCs w:val="20"/>
        </w:rPr>
        <w:t>Нормативы устанавливают совокупность расчетных показателей:</w:t>
      </w:r>
    </w:p>
    <w:p w14:paraId="3BC6A44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1.Минимально допустимого уровня обеспеченности объектами местного значения поселения, относящимися к следующим областям: </w:t>
      </w:r>
    </w:p>
    <w:p w14:paraId="049721C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а)электро-, тепло-, газо- и водоснабжение населения, водоотведение;</w:t>
      </w:r>
    </w:p>
    <w:p w14:paraId="371FCE0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б)автомобильные дороги местного значения;</w:t>
      </w:r>
    </w:p>
    <w:p w14:paraId="57D4464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в)физическая культура и массовый спорт, образование, здравоохранение, утилизация и переработка бытовых и промышленных отходов в случае внесения изменений в генеральный  план Родыгинского сельского поселения Советского района Кировской области;</w:t>
      </w:r>
    </w:p>
    <w:p w14:paraId="7F9F870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г)иные области в связи с решением вопросов местного значения поселения;</w:t>
      </w:r>
    </w:p>
    <w:p w14:paraId="2A66913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/>
          <w:smallCaps/>
          <w:vanish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2.Максимально допустимого уровня территориальной доступности таких объектов для населения Родыгинского сельского поселения.</w:t>
      </w:r>
    </w:p>
    <w:p w14:paraId="3681513A">
      <w:pPr>
        <w:keepNext w:val="0"/>
        <w:keepLines w:val="0"/>
        <w:pageBreakBefore w:val="0"/>
        <w:shd w:val="clear" w:color="auto" w:fill="FFFFFF"/>
        <w:tabs>
          <w:tab w:val="left" w:pos="567"/>
        </w:tabs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color w:val="000000"/>
          <w:sz w:val="20"/>
          <w:szCs w:val="20"/>
        </w:rPr>
      </w:pPr>
      <w:r>
        <w:rPr>
          <w:rFonts w:ascii="Times New Roman" w:hAnsi="Times New Roman"/>
          <w:smallCaps/>
          <w:vanish/>
          <w:color w:val="000000"/>
          <w:sz w:val="20"/>
          <w:szCs w:val="20"/>
        </w:rPr>
        <w:t xml:space="preserve">       1.3.1. Минимально допустимого уровня обеспеченности объектами местного значения  к следующим областям:</w:t>
      </w:r>
    </w:p>
    <w:p w14:paraId="426F8C63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color w:val="000000"/>
          <w:sz w:val="20"/>
          <w:szCs w:val="20"/>
        </w:rPr>
      </w:pPr>
      <w:r>
        <w:rPr>
          <w:rFonts w:ascii="Times New Roman" w:hAnsi="Times New Roman"/>
          <w:smallCaps/>
          <w:vanish/>
          <w:color w:val="000000"/>
          <w:sz w:val="20"/>
          <w:szCs w:val="20"/>
        </w:rPr>
        <w:t>а) электро-, тепло-, газо- и водоснабжение населения, водоотведение;</w:t>
      </w:r>
    </w:p>
    <w:p w14:paraId="061FBBC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color w:val="000000"/>
          <w:sz w:val="20"/>
          <w:szCs w:val="20"/>
        </w:rPr>
      </w:pPr>
      <w:r>
        <w:rPr>
          <w:rFonts w:ascii="Times New Roman" w:hAnsi="Times New Roman"/>
          <w:smallCaps/>
          <w:vanish/>
          <w:color w:val="000000"/>
          <w:sz w:val="20"/>
          <w:szCs w:val="20"/>
        </w:rPr>
        <w:t>б) автомобильные дороги местного значения;</w:t>
      </w:r>
    </w:p>
    <w:p w14:paraId="376AD1D8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color w:val="000000"/>
          <w:sz w:val="20"/>
          <w:szCs w:val="20"/>
        </w:rPr>
      </w:pPr>
      <w:r>
        <w:rPr>
          <w:rFonts w:ascii="Times New Roman" w:hAnsi="Times New Roman"/>
          <w:smallCaps/>
          <w:vanish/>
          <w:color w:val="000000"/>
          <w:sz w:val="20"/>
          <w:szCs w:val="20"/>
        </w:rPr>
        <w:t>в) физическая культура и массовый спорт, образование, здравохранение, утилизация и переработка  и переработка бытовых и промышленных отходов в случае подготовки генерального плана Ильинского сельского поселения Советского района Кировской области;</w:t>
      </w:r>
    </w:p>
    <w:p w14:paraId="1786B14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color w:val="000000"/>
          <w:sz w:val="20"/>
          <w:szCs w:val="20"/>
        </w:rPr>
      </w:pPr>
      <w:r>
        <w:rPr>
          <w:rFonts w:ascii="Times New Roman" w:hAnsi="Times New Roman"/>
          <w:smallCaps/>
          <w:vanish/>
          <w:color w:val="000000"/>
          <w:sz w:val="20"/>
          <w:szCs w:val="20"/>
        </w:rPr>
        <w:t>ж) иные области в связи с решением вопросов местного значения Ильинского сельского поселения Советского района Кировской области;</w:t>
      </w:r>
    </w:p>
    <w:p w14:paraId="026E894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mallCaps/>
          <w:vanish/>
          <w:color w:val="000000"/>
          <w:sz w:val="20"/>
          <w:szCs w:val="20"/>
        </w:rPr>
      </w:pPr>
      <w:r>
        <w:rPr>
          <w:rFonts w:ascii="Times New Roman" w:hAnsi="Times New Roman"/>
          <w:smallCaps/>
          <w:vanish/>
          <w:color w:val="000000"/>
          <w:sz w:val="20"/>
          <w:szCs w:val="20"/>
        </w:rPr>
        <w:t xml:space="preserve">       1.3.2. Максимально допустимого уровня территориальной доступности таких объектов для населения Ильинского сельского поселения Советского района Кировской области.</w:t>
      </w:r>
    </w:p>
    <w:p w14:paraId="2F517D8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545698E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1.3.Местные Нормативы не могут содержать значения расчетных показателей, ухудшающие значения расчетных показателей, установленных в региональных нормативах градостроительного проектирования Кировской области.</w:t>
      </w:r>
    </w:p>
    <w:p w14:paraId="3D0D11CC"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1.4.Для объектов местного значения, на которые не установлены расчетные показатели настоящими  Нормативами, следует руководствоваться региональными нормативами градостроительного проектирования Кировской области, законами и нормативно-техническими документами Российской Федерации и Кировской области.</w:t>
      </w:r>
    </w:p>
    <w:p w14:paraId="6B92F01F">
      <w:pPr>
        <w:keepNext w:val="0"/>
        <w:keepLines w:val="0"/>
        <w:pageBreakBefore w:val="0"/>
        <w:tabs>
          <w:tab w:val="left" w:pos="0"/>
        </w:tabs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1.5.Размещение объектов градостроительного нормирования на территории  Родыгинского сельского поселения Советского района Кировской области определяется документами территориального планирования: Схемой территориального планирования Советского района Кировской области, Генеральным планом Родыгинского сельского поселения  Советского района Кировской области, Правилами землепользования и застройки Родыгинского сельского поселения  Советского района Кировской области и проектами планировки.</w:t>
      </w:r>
    </w:p>
    <w:p w14:paraId="2CB36C6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1.6.Расчетные показатели, содержащиеся в основной части Местных Нормативов, применяются при внесении  изменений в Генеральный план Родыгинского сельского поселения Советского района, документации по планировке территории, а также при установлении в случаях, предусмотренных федеральным законодательством иных градостроительных показателей и норм, направленных на обеспечение создания благоприятных условий жизнедеятельности человека при архитектурно-строительном проектировании.</w:t>
      </w:r>
    </w:p>
    <w:p w14:paraId="4848207D">
      <w:pPr>
        <w:keepNext w:val="0"/>
        <w:keepLines w:val="0"/>
        <w:pageBreakBefore w:val="0"/>
        <w:tabs>
          <w:tab w:val="left" w:pos="6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1.7.Утвержденные Местные нормативы подлежат размещению в федеральной государственной информационной системе обеспечения градостроительной деятельности.</w:t>
      </w:r>
    </w:p>
    <w:p w14:paraId="78082FA5">
      <w:pPr>
        <w:keepNext w:val="0"/>
        <w:keepLines w:val="0"/>
        <w:pageBreakBefore w:val="0"/>
        <w:tabs>
          <w:tab w:val="left" w:pos="60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1.8.Местные Нормативы обязательны для соблюдения всеми участниками градостроительной деятельности, осуществляемой на территории Родыгинского сельского поселения, при принятии решений о развитии застроенной территории, при подготовке документации по планировке территории.</w:t>
      </w:r>
    </w:p>
    <w:p w14:paraId="707C16B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1.9. Местные нормативы включают в себя следующие разделы:</w:t>
      </w:r>
    </w:p>
    <w:p w14:paraId="13C2C32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1.9.1.Основная часть (расчетные показатели минимально допустимого уровня обеспеченности объектами, предусмотренными пунктом 1части 5 статьи 23 Градостроительного кодекса Российской Федерации, населения Родыгинского сельского поселение Советского района Кировской области и расчетные показатели максимально допустимого уровня территориальной доступности таких объектов для </w:t>
      </w:r>
      <w:r>
        <w:rPr>
          <w:rFonts w:hint="default"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населения Родыгинского сельского поселения.</w:t>
      </w:r>
    </w:p>
    <w:p w14:paraId="09BCDB5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right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1.9.2.Материалы по обоснованию расчетных показателей, содержащихся в основной части Местных Нормативов.</w:t>
      </w:r>
    </w:p>
    <w:p w14:paraId="666CB77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right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1.9.3.Правила и область применения расчетных показателей, содержащихся в основной части Местных Нормативов.</w:t>
      </w:r>
      <w:r>
        <w:rPr>
          <w:rFonts w:ascii="Times New Roman" w:hAnsi="Times New Roman"/>
          <w:smallCaps/>
          <w:vanish/>
          <w:sz w:val="20"/>
          <w:szCs w:val="20"/>
        </w:rPr>
        <w:t>Нормативы устанавливают совокупность расчетных показателей относящимся к областям, указанным в пункте 1 части 5 статьи 23 Градостроительного кодекса Российской Федерации:</w:t>
      </w:r>
    </w:p>
    <w:p w14:paraId="4E88B8F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smallCaps/>
          <w:vanish/>
          <w:color w:val="000000"/>
          <w:sz w:val="20"/>
          <w:szCs w:val="20"/>
        </w:rPr>
      </w:pPr>
      <w:r>
        <w:rPr>
          <w:smallCaps/>
          <w:vanish/>
          <w:color w:val="000000"/>
          <w:sz w:val="20"/>
          <w:szCs w:val="20"/>
        </w:rPr>
        <w:t>Утвержденные Нормативы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14:paraId="562073B5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smallCaps/>
          <w:vanish/>
          <w:sz w:val="20"/>
          <w:szCs w:val="20"/>
        </w:rPr>
      </w:pPr>
      <w:r>
        <w:rPr>
          <w:smallCaps/>
          <w:vanish/>
          <w:sz w:val="20"/>
          <w:szCs w:val="20"/>
        </w:rPr>
        <w:t xml:space="preserve">     3.6. Нормативы обязательны для соблюдения всеми участниками градостроительной деятельности, осуществляемой на территории Советского района Кировской области,  при принятии решений о развитии застроенной территории, при подготовке документации по планировке территории.</w:t>
      </w:r>
    </w:p>
    <w:p w14:paraId="65C36307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smallCaps/>
          <w:vanish/>
          <w:color w:val="000000"/>
          <w:sz w:val="20"/>
          <w:szCs w:val="20"/>
        </w:rPr>
      </w:pPr>
      <w:r>
        <w:rPr>
          <w:smallCaps/>
          <w:vanish/>
          <w:color w:val="000000"/>
          <w:sz w:val="20"/>
          <w:szCs w:val="20"/>
        </w:rPr>
        <w:t>Утвержденные Нормативы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Нормативов.</w:t>
      </w:r>
    </w:p>
    <w:p w14:paraId="05B3295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smallCaps/>
          <w:vanish/>
          <w:sz w:val="20"/>
          <w:szCs w:val="20"/>
        </w:rPr>
      </w:pPr>
      <w:r>
        <w:rPr>
          <w:smallCaps/>
          <w:vanish/>
          <w:sz w:val="20"/>
          <w:szCs w:val="20"/>
        </w:rPr>
        <w:t xml:space="preserve">     3.6. Нормативы обязательны для соблюдения всеми участниками градостроительной деятельности, осуществляемой на территории Советского района Кировской области,  при принятии решений о развитии застроенной территории, при подготовке документации по планировке территории.</w:t>
      </w:r>
    </w:p>
    <w:p w14:paraId="1F1973A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322EE83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ОСНОВНАЯ ЧАСТЬ.</w:t>
      </w:r>
    </w:p>
    <w:p w14:paraId="02ED192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РАСЧЕТНЫЕ ПОКАЗАТЕЛИ МЕСТНЫХ НОРМАТИВОВ </w:t>
      </w:r>
    </w:p>
    <w:p w14:paraId="1F1DF91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ГРАДОСТРОИТЕЛЬНОГО ПРОЕКТИРОВАНИЯ</w:t>
      </w:r>
    </w:p>
    <w:p w14:paraId="15684EF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</w:p>
    <w:p w14:paraId="2280B3A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Chars="0" w:right="0" w:rightChars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hint="default" w:ascii="Times New Roman" w:hAnsi="Times New Roman"/>
          <w:sz w:val="20"/>
          <w:szCs w:val="20"/>
          <w:lang w:val="ru-RU"/>
        </w:rPr>
        <w:t>2.1</w:t>
      </w:r>
      <w:r>
        <w:rPr>
          <w:rFonts w:ascii="Times New Roman" w:hAnsi="Times New Roman"/>
          <w:sz w:val="20"/>
          <w:szCs w:val="20"/>
        </w:rPr>
        <w:t>.Расчетные показатели в сфере инженерного обслуживания</w:t>
      </w:r>
      <w:r>
        <w:rPr>
          <w:rFonts w:hint="default" w:ascii="Times New Roman" w:hAnsi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sz w:val="20"/>
          <w:szCs w:val="20"/>
        </w:rPr>
        <w:t>( электро-, тепло-, газо- и водоснабжение населения, водоотведение)</w:t>
      </w:r>
    </w:p>
    <w:p w14:paraId="543FA1E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</w:p>
    <w:p w14:paraId="7E0EB331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2.1.1.При проектировании сетей и сооружений водоснабжения, канализации, теплогазоснабжения следует руководствоваться соответственно СНиП 2.04.02-84*, СНиП 2.04.03-85, СНиП 41-02-2003, СНиП 42-01-2002, требованиями действующих санитарных норм и правил, а также требованиями настоящих норм.</w:t>
      </w:r>
    </w:p>
    <w:p w14:paraId="55968DEA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2.1.2.Для водоснабжения малоэтажной застройки в сельских населенных пунктах допускается применять локальные сооружения для забора и подачи воды, отвечающие санитарно-гигиеническим требованиям.</w:t>
      </w:r>
    </w:p>
    <w:p w14:paraId="6587C60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2.1.3. Расчетные расходы воды на поливку - 50 - 90 л/сутки на человека.</w:t>
      </w:r>
    </w:p>
    <w:p w14:paraId="4973224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2.1.4.Расчетные расходы воды на противопожарные нужды - в соответствии со СНиП 2.04.02-84.</w:t>
      </w:r>
    </w:p>
    <w:p w14:paraId="3520424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2.1.5.Удельное среднесуточное (за год) водопотребление на хозяйственно-питьевые нужды приведено в  таблице 1.</w:t>
      </w:r>
    </w:p>
    <w:p w14:paraId="53E3BC7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0"/>
        <w:rPr>
          <w:rFonts w:ascii="Times New Roman" w:hAnsi="Times New Roman"/>
          <w:sz w:val="20"/>
          <w:szCs w:val="20"/>
        </w:rPr>
      </w:pPr>
    </w:p>
    <w:p w14:paraId="6DF1757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1</w:t>
      </w:r>
    </w:p>
    <w:p w14:paraId="6E918EB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/>
          <w:sz w:val="20"/>
          <w:szCs w:val="20"/>
        </w:rPr>
      </w:pPr>
    </w:p>
    <w:tbl>
      <w:tblPr>
        <w:tblStyle w:val="3"/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6180"/>
        <w:gridCol w:w="3458"/>
      </w:tblGrid>
      <w:tr w14:paraId="3DC6F77A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61E9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Степень благоустройства жилой застройки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533E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Удельное хозяйственно-питьевое водопотребление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на одного жителя среднесуточное (за год), л/сут.</w:t>
            </w:r>
          </w:p>
        </w:tc>
      </w:tr>
      <w:tr w14:paraId="4CE56CA4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2C8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Застройка зданиями, оборудованными внутренним водопроводом и канализацией: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4F16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5D7DF41C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5EBF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без ванн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611A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125 - 160</w:t>
            </w:r>
          </w:p>
        </w:tc>
      </w:tr>
      <w:tr w14:paraId="5285CAD7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135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ванными и местными водонагревателями</w:t>
            </w:r>
          </w:p>
        </w:tc>
        <w:tc>
          <w:tcPr>
            <w:tcW w:w="3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F409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160 - 230</w:t>
            </w:r>
          </w:p>
        </w:tc>
      </w:tr>
    </w:tbl>
    <w:p w14:paraId="7B13897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77B70DC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440728C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2.1.6. Расчетный среднесуточный (за год) расход сточных вод населенных пунктов определяется как сумма среднесуточных расходов по всем видам сточных вод в зависимости от системы водоотведения (без учета расхода воды на поливку и противопожарные нужды).</w:t>
      </w:r>
    </w:p>
    <w:p w14:paraId="229F2DCA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2.1.7. При проектировании канализации для отдельно стоящих зданий или их групп допускается устройство децентрализованной системы канализации. Для отдельно стоящих зданий при расходе бытовых сточных вод до 1 куб. м/сутки допускается устройство люфт-клозетов или выгребов.</w:t>
      </w:r>
    </w:p>
    <w:p w14:paraId="271CFDD8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2.1.8.В сельских населенных пунктах (прежде всего при одно-, двухэтажной застройке) возможно как централизованное, так и автономное обеспечение теплом на нужды отопления и горячего водоснабжения. Выбор варианта осуществляется на основании технико-экономических расчетов при условии соблюдения экологических требований.</w:t>
      </w:r>
    </w:p>
    <w:p w14:paraId="451F6BB5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color w:val="000000"/>
          <w:sz w:val="20"/>
          <w:szCs w:val="20"/>
        </w:rPr>
        <w:t>Примечание. При децентрализованном теплоснабжении применяются автономные генераторы тепла различных конструкций, работающие на местных видах топлива.</w:t>
      </w:r>
    </w:p>
    <w:p w14:paraId="5C5D358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2.1.9.Удельный расход тепла для жилых зданий на нужды теплоснабжения (при расчетной температуре наружного воздуха минус 33 град. C) в зависимости от этажности застройки приведён в таблице </w:t>
      </w:r>
      <w:r>
        <w:rPr>
          <w:rFonts w:ascii="Times New Roman" w:hAnsi="Times New Roman"/>
          <w:color w:val="000000"/>
          <w:sz w:val="20"/>
          <w:szCs w:val="20"/>
        </w:rPr>
        <w:t>2.</w:t>
      </w:r>
    </w:p>
    <w:p w14:paraId="53755AA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color w:val="000000"/>
          <w:sz w:val="20"/>
          <w:szCs w:val="20"/>
        </w:rPr>
      </w:pPr>
    </w:p>
    <w:p w14:paraId="5562A8D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0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Таблица 2</w:t>
      </w:r>
    </w:p>
    <w:p w14:paraId="3BC8223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</w:p>
    <w:tbl>
      <w:tblPr>
        <w:tblStyle w:val="3"/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4961"/>
        <w:gridCol w:w="4309"/>
      </w:tblGrid>
      <w:tr w14:paraId="29CA65FC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4EF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Этажность застройки</w:t>
            </w: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1CF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position w:val="-8"/>
                <w:sz w:val="20"/>
                <w:szCs w:val="20"/>
              </w:rPr>
              <w:pict>
                <v:shape id="_x0000_i1025" o:spt="75" type="#_x0000_t75" style="height:17.25pt;width:9pt;" filled="f" o:preferrelative="t" stroked="f" coordsize="21600,21600">
                  <v:path/>
                  <v:fill on="f" focussize="0,0"/>
                  <v:stroke on="f" joinstyle="miter"/>
                  <v:imagedata r:id="rId7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Times New Roman" w:hAnsi="Times New Roman"/>
                <w:sz w:val="20"/>
                <w:szCs w:val="20"/>
              </w:rPr>
              <w:t>, Вт/кв. м общей площади</w:t>
            </w:r>
          </w:p>
        </w:tc>
      </w:tr>
      <w:tr w14:paraId="31BEF0F1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6188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1 - 2 этажа</w:t>
            </w: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E8AB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</w:tr>
      <w:tr w14:paraId="5AB10A60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4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FF6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3 - 4 этажа</w:t>
            </w:r>
          </w:p>
        </w:tc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873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</w:tr>
    </w:tbl>
    <w:p w14:paraId="6887E00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</w:p>
    <w:p w14:paraId="5253B59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2.1.10.Укрупненные показатели потребления газа для жилищно-коммунального сектора:</w:t>
      </w:r>
    </w:p>
    <w:p w14:paraId="06D2A75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 наличии централизованного горячего водоснабжения - 100 куб. м/год на 1 человека;</w:t>
      </w:r>
    </w:p>
    <w:p w14:paraId="4F27950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 горячем водоснабжении от газовых водонагревателей - 250 куб. м/год на 1 человека;</w:t>
      </w:r>
    </w:p>
    <w:p w14:paraId="4D56380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 отсутствии всяких видов горячего водоснабжения:</w:t>
      </w:r>
    </w:p>
    <w:p w14:paraId="323BBEB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в сельской местности 165 куб. м/год на 1 человека.</w:t>
      </w:r>
    </w:p>
    <w:p w14:paraId="3A73B96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2.1.11.Расход электроэнергии, потребность в тепле, газе и мощности источников энергоснабжения для хозяйственно-бытовых и коммунальных нужд следует определять в соответствии с требованиями СНиП 41-02-2003, СНиП 42-01-2002, "Правил безопасности в газовом хозяйстве Госгортехнадзора России", РД 34.20.185-94, а также изменениями и дополнениями к разделу 2 "Расчетные электрические нагрузки" РД 34.20.185-94, с учетом требований "Правил устройства электроустановок". При размещении линий электропередач и понизительных подстанций в застройке следует учитывать требования СНиП 2.07.01-89*.</w:t>
      </w:r>
    </w:p>
    <w:p w14:paraId="2AA9226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2.1.12.Укрупненные  показатели  электропотребления  приведены  в  таблице </w:t>
      </w:r>
      <w:r>
        <w:rPr>
          <w:rFonts w:ascii="Times New Roman" w:hAnsi="Times New Roman"/>
          <w:sz w:val="20"/>
          <w:szCs w:val="20"/>
        </w:rPr>
        <w:br w:type="textWrapping"/>
      </w:r>
    </w:p>
    <w:p w14:paraId="06A6B7C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</w:p>
    <w:p w14:paraId="7EA1CDC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3</w:t>
      </w:r>
    </w:p>
    <w:tbl>
      <w:tblPr>
        <w:tblStyle w:val="3"/>
        <w:tblW w:w="9540" w:type="dxa"/>
        <w:tblInd w:w="-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3780"/>
        <w:gridCol w:w="3060"/>
        <w:gridCol w:w="2700"/>
      </w:tblGrid>
      <w:tr w14:paraId="6FA6D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378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786A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Степень благоустройства поселений</w:t>
            </w:r>
          </w:p>
        </w:tc>
        <w:tc>
          <w:tcPr>
            <w:tcW w:w="306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53B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Электропотребление, кВт.ч/год на 1 человека</w:t>
            </w:r>
          </w:p>
        </w:tc>
        <w:tc>
          <w:tcPr>
            <w:tcW w:w="2700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C101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Использование максимума электрической нагрузки, ч/год</w:t>
            </w:r>
          </w:p>
        </w:tc>
      </w:tr>
      <w:tr w14:paraId="7119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378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7ED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Застройка, не оборудованная стационарными электроплитами</w:t>
            </w:r>
          </w:p>
        </w:tc>
        <w:tc>
          <w:tcPr>
            <w:tcW w:w="306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F764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950</w:t>
            </w:r>
          </w:p>
        </w:tc>
        <w:tc>
          <w:tcPr>
            <w:tcW w:w="270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A933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4100</w:t>
            </w:r>
          </w:p>
        </w:tc>
      </w:tr>
      <w:tr w14:paraId="2C4F7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1570" w:hRule="atLeast"/>
        </w:trPr>
        <w:tc>
          <w:tcPr>
            <w:tcW w:w="378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B0D2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Застройка, оборудованная стационарными электроплитами 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(100% охвата)</w:t>
            </w:r>
          </w:p>
        </w:tc>
        <w:tc>
          <w:tcPr>
            <w:tcW w:w="306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E223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1350</w:t>
            </w:r>
          </w:p>
        </w:tc>
        <w:tc>
          <w:tcPr>
            <w:tcW w:w="2700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2D9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4400</w:t>
            </w:r>
          </w:p>
        </w:tc>
      </w:tr>
    </w:tbl>
    <w:p w14:paraId="06AD8BE4">
      <w:pPr>
        <w:keepNext w:val="0"/>
        <w:keepLines w:val="0"/>
        <w:pageBreakBefore w:val="0"/>
        <w:tabs>
          <w:tab w:val="left" w:pos="900"/>
        </w:tabs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0"/>
        <w:rPr>
          <w:rFonts w:ascii="Times New Roman" w:hAnsi="Times New Roman"/>
          <w:sz w:val="20"/>
          <w:szCs w:val="20"/>
        </w:rPr>
      </w:pPr>
    </w:p>
    <w:p w14:paraId="787A90D9">
      <w:pPr>
        <w:keepNext w:val="0"/>
        <w:keepLines w:val="0"/>
        <w:pageBreakBefore w:val="0"/>
        <w:tabs>
          <w:tab w:val="left" w:pos="900"/>
        </w:tabs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0"/>
        <w:rPr>
          <w:rFonts w:ascii="Times New Roman" w:hAnsi="Times New Roman"/>
          <w:sz w:val="20"/>
          <w:szCs w:val="20"/>
        </w:rPr>
      </w:pPr>
    </w:p>
    <w:p w14:paraId="66F18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 Расчетные     показатели    минимально   допустимого    уровня</w:t>
      </w:r>
    </w:p>
    <w:p w14:paraId="4A1C99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обеспеченности объектами  в области  транспорта и  расчетные</w:t>
      </w:r>
    </w:p>
    <w:p w14:paraId="5F2BA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показатели  максимально  допустимого  уровня</w:t>
      </w:r>
    </w:p>
    <w:p w14:paraId="4910D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outlineLvl w:val="1"/>
        <w:rPr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территориальной доступности таких объектов</w:t>
      </w:r>
    </w:p>
    <w:p w14:paraId="0147D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b/>
          <w:sz w:val="20"/>
          <w:szCs w:val="20"/>
        </w:rPr>
      </w:pPr>
    </w:p>
    <w:p w14:paraId="5349B3D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2.2.1.Система улично-дорожной сети составляет основу планировочной структуры поселения и призвана обеспечивать удобные, быстрые и безопасные транспортные связи со всеми функциональными зонами, с другими населенными пунктами, с объектами внешнего транспорта и автомобильными дорогами общей сети.</w:t>
      </w:r>
    </w:p>
    <w:p w14:paraId="78AFE8B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2.2.1.Расчетный уровень автомобилизации - 225 машин на 1000 жителей без ведомственных легковых машин и такси (300 машин на 1000 жителей, включая ведомственные легковые машины и такси).</w:t>
      </w:r>
    </w:p>
    <w:p w14:paraId="2C1103A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2.2.3.Плотность магистральной сети в среднем составляет - 2 - 3 км/кв. км.</w:t>
      </w:r>
    </w:p>
    <w:p w14:paraId="66090C9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2.2.4.Обеспеченность гаражами или стоянками для долговременного хранения машин - 90% индивидуальных транспортных средств.</w:t>
      </w:r>
    </w:p>
    <w:p w14:paraId="4243122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2.2.5.Гаражи и стоянки долговременного хранения индивидуальных транспортных средств могут размещаться:</w:t>
      </w:r>
    </w:p>
    <w:p w14:paraId="62018DF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территориях коммунально-складских и производственных зон;</w:t>
      </w:r>
    </w:p>
    <w:p w14:paraId="1E4237C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санитарно-защитных зонах производственных предприятий и железных дорог;</w:t>
      </w:r>
    </w:p>
    <w:p w14:paraId="1C6E0A3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овражистых территориях, участках с резким перепадом рельефа;</w:t>
      </w:r>
    </w:p>
    <w:p w14:paraId="252DA87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2.2.6.Норматив обеспечения автостоянками, гаражами для долговременного (постоянного) хранения транспортных средств должен обеспечиваться в границах земельного участка, предоставленного для комплексного освоения в целях жилищного строительства (свободные от застройки земли), при подготовке документации по планировке территории.</w:t>
      </w:r>
    </w:p>
    <w:p w14:paraId="13446E3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2.2.7.Рекомендуется широкое использование встроенных и встроенно-пристроенных гаражей в жилых и общественных зданиях, за исключением школ, детских дошкольных организаций, лечебных организаций со стационаром и культурно-зрелищных учреждений.   </w:t>
      </w:r>
    </w:p>
    <w:p w14:paraId="443941D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2.2.8.Встроенные (встроенно-пристроенные) гаражи (стоянки) следует проектировать в соответствии с требованиями СП 54.13330.2011, СП 55.13330.2011, СП 42.13330.2011 и СП 113.13330.2012.</w:t>
      </w:r>
    </w:p>
    <w:p w14:paraId="3AD2EC8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2.2.9.При подготовке документации по планировке территории допускается формирование отдельных земельных участков в квартале:</w:t>
      </w:r>
    </w:p>
    <w:p w14:paraId="043D53B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выделения внутриквартальной зоны детских и спортивных площадок;</w:t>
      </w:r>
    </w:p>
    <w:p w14:paraId="269A180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озеленения территории (удельный показатель принимается из расчета 6,0 кв. м/человека на квартал);</w:t>
      </w:r>
    </w:p>
    <w:p w14:paraId="439AD4C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размещения автостоянок открытого (закрытого) типа для долговременного хранения транспортных средств жителей микрорайона, (квартала).</w:t>
      </w:r>
    </w:p>
    <w:p w14:paraId="33E5A92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color w:val="FF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2.2.10.Расчетное число мест хранения автотранспорта, а также парковки машин при новой застройке устанавливается в зависимости от категории комфорта жилого фонда и в соответствии с</w:t>
      </w:r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таблицей 4</w:t>
      </w:r>
      <w:r>
        <w:rPr>
          <w:rFonts w:ascii="Times New Roman" w:hAnsi="Times New Roman"/>
          <w:color w:val="FF0000"/>
          <w:sz w:val="20"/>
          <w:szCs w:val="20"/>
        </w:rPr>
        <w:t>.</w:t>
      </w:r>
    </w:p>
    <w:p w14:paraId="6605EC5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>Таблица 4</w:t>
      </w:r>
    </w:p>
    <w:tbl>
      <w:tblPr>
        <w:tblStyle w:val="3"/>
        <w:tblpPr w:leftFromText="180" w:rightFromText="180" w:vertAnchor="text" w:horzAnchor="page" w:tblpX="1691" w:tblpY="252"/>
        <w:tblOverlap w:val="never"/>
        <w:tblW w:w="0" w:type="auto"/>
        <w:tblCellSpacing w:w="0" w:type="dxa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62"/>
        <w:gridCol w:w="3034"/>
        <w:gridCol w:w="2659"/>
      </w:tblGrid>
      <w:tr w14:paraId="0F688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662" w:type="dxa"/>
          </w:tcPr>
          <w:p w14:paraId="23164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многоквартирного дома по уровню комфорта</w:t>
            </w:r>
          </w:p>
        </w:tc>
        <w:tc>
          <w:tcPr>
            <w:tcW w:w="3034" w:type="dxa"/>
          </w:tcPr>
          <w:p w14:paraId="0806B1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Автостоянка, гаражи для долговременного (постоянного) хранения автотранспорта (машино-мест на квартиру)</w:t>
            </w:r>
          </w:p>
        </w:tc>
        <w:tc>
          <w:tcPr>
            <w:tcW w:w="2659" w:type="dxa"/>
          </w:tcPr>
          <w:p w14:paraId="1A076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Гостевые стоянки для временного пребывания (парковки) автотранспорта (машино-мест на квартиру)</w:t>
            </w:r>
          </w:p>
        </w:tc>
      </w:tr>
      <w:tr w14:paraId="78105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662" w:type="dxa"/>
          </w:tcPr>
          <w:p w14:paraId="00C92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Престижный</w:t>
            </w:r>
          </w:p>
        </w:tc>
        <w:tc>
          <w:tcPr>
            <w:tcW w:w="3034" w:type="dxa"/>
          </w:tcPr>
          <w:p w14:paraId="683277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2659" w:type="dxa"/>
          </w:tcPr>
          <w:p w14:paraId="5EAAF0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</w:t>
            </w:r>
          </w:p>
        </w:tc>
      </w:tr>
      <w:tr w14:paraId="4CD1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662" w:type="dxa"/>
          </w:tcPr>
          <w:p w14:paraId="47265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Массовый (экономкласс)</w:t>
            </w:r>
          </w:p>
        </w:tc>
        <w:tc>
          <w:tcPr>
            <w:tcW w:w="3034" w:type="dxa"/>
            <w:vMerge w:val="restart"/>
          </w:tcPr>
          <w:p w14:paraId="4A170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0,4</w:t>
            </w:r>
          </w:p>
        </w:tc>
        <w:tc>
          <w:tcPr>
            <w:tcW w:w="2659" w:type="dxa"/>
            <w:vMerge w:val="restart"/>
          </w:tcPr>
          <w:p w14:paraId="2FFA35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</w:tr>
      <w:tr w14:paraId="24BC1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662" w:type="dxa"/>
          </w:tcPr>
          <w:p w14:paraId="7A642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Социальный (муниципальное жилище)</w:t>
            </w:r>
          </w:p>
        </w:tc>
        <w:tc>
          <w:tcPr>
            <w:tcW w:w="3034" w:type="dxa"/>
            <w:vMerge w:val="continue"/>
            <w:vAlign w:val="center"/>
          </w:tcPr>
          <w:p w14:paraId="1F71A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9" w:type="dxa"/>
            <w:vMerge w:val="continue"/>
            <w:vAlign w:val="center"/>
          </w:tcPr>
          <w:p w14:paraId="397F4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EEE82B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7FED1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rFonts w:ascii="Times New Roman" w:hAnsi="Times New Roman"/>
          <w:sz w:val="20"/>
          <w:szCs w:val="20"/>
        </w:rPr>
      </w:pPr>
    </w:p>
    <w:p w14:paraId="5921E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Примечание: Места парковки автомобилей следует размещать на расстоянии не более 150 м от общественных объектов.</w:t>
      </w:r>
    </w:p>
    <w:p w14:paraId="3B6E0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rFonts w:ascii="Times New Roman" w:hAnsi="Times New Roman"/>
          <w:sz w:val="20"/>
          <w:szCs w:val="20"/>
        </w:rPr>
      </w:pPr>
    </w:p>
    <w:p w14:paraId="5408B7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rFonts w:ascii="Times New Roman" w:hAnsi="Times New Roman"/>
          <w:sz w:val="20"/>
          <w:szCs w:val="20"/>
        </w:rPr>
      </w:pPr>
    </w:p>
    <w:p w14:paraId="1B61D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2.2.11.Расчетные  показатели  минимально допустимого уровня обеспеченности объектами в области транспорта и расчетные показатели максимально  допустимого уровня территориальной доступности таких объектов следует принимать в соответствии с таблицей 5.</w:t>
      </w:r>
    </w:p>
    <w:p w14:paraId="6C6D9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rFonts w:ascii="Times New Roman" w:hAnsi="Times New Roman"/>
          <w:sz w:val="20"/>
          <w:szCs w:val="20"/>
        </w:rPr>
      </w:pPr>
    </w:p>
    <w:p w14:paraId="7D974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rFonts w:ascii="Times New Roman" w:hAnsi="Times New Roman"/>
          <w:sz w:val="20"/>
          <w:szCs w:val="20"/>
        </w:rPr>
      </w:pPr>
    </w:p>
    <w:p w14:paraId="32F46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5</w:t>
      </w:r>
    </w:p>
    <w:tbl>
      <w:tblPr>
        <w:tblStyle w:val="3"/>
        <w:tblW w:w="9400" w:type="dxa"/>
        <w:tblCellSpacing w:w="0" w:type="dxa"/>
        <w:tblInd w:w="75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850"/>
        <w:gridCol w:w="2778"/>
        <w:gridCol w:w="3346"/>
        <w:gridCol w:w="2426"/>
      </w:tblGrid>
      <w:tr w14:paraId="409BC36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851" w:hRule="atLeast"/>
          <w:tblCellSpacing w:w="0" w:type="dxa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9F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  <w:p w14:paraId="1AB7A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22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Объект, </w:t>
            </w:r>
          </w:p>
          <w:p w14:paraId="3D6CE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43C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10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 допустимый уровень доступности объектов</w:t>
            </w:r>
          </w:p>
        </w:tc>
      </w:tr>
      <w:tr w14:paraId="5E51999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799" w:hRule="atLeast"/>
          <w:tblCellSpacing w:w="0" w:type="dxa"/>
        </w:trPr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5378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8DCB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Остановки общественного транспорта в населенных пунктах </w:t>
            </w:r>
          </w:p>
        </w:tc>
        <w:tc>
          <w:tcPr>
            <w:tcW w:w="33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65F1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нормируется</w:t>
            </w:r>
          </w:p>
        </w:tc>
        <w:tc>
          <w:tcPr>
            <w:tcW w:w="24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5110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 метров</w:t>
            </w:r>
          </w:p>
        </w:tc>
      </w:tr>
    </w:tbl>
    <w:p w14:paraId="6E561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sz w:val="20"/>
          <w:szCs w:val="20"/>
        </w:rPr>
      </w:pPr>
    </w:p>
    <w:p w14:paraId="1FF90A3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2.2.12.Нормативы объектов обслуживания транспортных средств:</w:t>
      </w:r>
    </w:p>
    <w:p w14:paraId="2C92003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станции технического обслуживания автомобилей (далее - СТО) принимаются из расчета один пост на 100 - 150 легковых автомобилей;</w:t>
      </w:r>
    </w:p>
    <w:p w14:paraId="7732E9F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автозаправочные станции (далее - АЗС) - из расчета одна топливораздаточная колонка на 500 легковых автомобилей в сутки.</w:t>
      </w:r>
    </w:p>
    <w:p w14:paraId="03F9E0A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2.2.13.Минимальная санитарно-защитная зона от АЗС - 50 метров (АЗС для легкового автотранспорта, оборудованные системой закольцовки паров бензина, автогазозаправочные станции с компрессорами внутри помещения с количеством заправок не более 500 метров/сутки без объектов технического обслуживания автомобилей).</w:t>
      </w:r>
    </w:p>
    <w:p w14:paraId="4DCD7D5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2.2.14. Минимальная санитарно-защитная зона от СТО - 50 метров (СТО легковых автомобилей до 5 постов).</w:t>
      </w:r>
    </w:p>
    <w:p w14:paraId="090E8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1"/>
        <w:rPr>
          <w:sz w:val="20"/>
          <w:szCs w:val="20"/>
        </w:rPr>
      </w:pPr>
    </w:p>
    <w:p w14:paraId="0044E78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2.3.  Расчетные     показатели     минимально    допустимого  уровня</w:t>
      </w:r>
    </w:p>
    <w:p w14:paraId="06E3EA6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обеспеченности объектами в  области  физической  культуры и</w:t>
      </w:r>
    </w:p>
    <w:p w14:paraId="1A76397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спорта  и   расчетные   показатели   максимально  допустимого</w:t>
      </w:r>
    </w:p>
    <w:p w14:paraId="066B5CE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уровня   территориальной   доступности   таких   объектов</w:t>
      </w:r>
    </w:p>
    <w:p w14:paraId="731FFF6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3DF6C3F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4AB5B6D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2.3.1.Расчетные показатели минимально допустимого уровня обеспеченности объектами в области физической культуры и спорта и расчетные показатели максимально допустимого уровня территориальной доступности таких объектов приведены в таблице 6.</w:t>
      </w:r>
    </w:p>
    <w:p w14:paraId="40783CC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bCs/>
          <w:sz w:val="20"/>
          <w:szCs w:val="20"/>
        </w:rPr>
      </w:pPr>
    </w:p>
    <w:p w14:paraId="5A3B9E9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bCs/>
          <w:sz w:val="20"/>
          <w:szCs w:val="20"/>
        </w:rPr>
      </w:pPr>
    </w:p>
    <w:p w14:paraId="10139C7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Таблица 6</w:t>
      </w:r>
    </w:p>
    <w:tbl>
      <w:tblPr>
        <w:tblStyle w:val="3"/>
        <w:tblW w:w="0" w:type="auto"/>
        <w:tblCellSpacing w:w="0" w:type="dxa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3271"/>
        <w:gridCol w:w="2683"/>
        <w:gridCol w:w="2807"/>
      </w:tblGrid>
      <w:tr w14:paraId="3EBE6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94" w:type="dxa"/>
          </w:tcPr>
          <w:p w14:paraId="2570C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271" w:type="dxa"/>
          </w:tcPr>
          <w:p w14:paraId="66342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Учреждение, объект,</w:t>
            </w:r>
          </w:p>
          <w:p w14:paraId="35617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683" w:type="dxa"/>
          </w:tcPr>
          <w:p w14:paraId="525307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</w:t>
            </w:r>
          </w:p>
        </w:tc>
        <w:tc>
          <w:tcPr>
            <w:tcW w:w="2807" w:type="dxa"/>
          </w:tcPr>
          <w:p w14:paraId="0F21D3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объектов</w:t>
            </w:r>
          </w:p>
        </w:tc>
      </w:tr>
      <w:tr w14:paraId="03BA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94" w:type="dxa"/>
          </w:tcPr>
          <w:p w14:paraId="71500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71" w:type="dxa"/>
          </w:tcPr>
          <w:p w14:paraId="043A05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83" w:type="dxa"/>
          </w:tcPr>
          <w:p w14:paraId="03DB4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07" w:type="dxa"/>
          </w:tcPr>
          <w:p w14:paraId="12CE3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14:paraId="63138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355" w:type="dxa"/>
            <w:gridSpan w:val="4"/>
          </w:tcPr>
          <w:p w14:paraId="1478A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2617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94" w:type="dxa"/>
          </w:tcPr>
          <w:p w14:paraId="748B4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271" w:type="dxa"/>
          </w:tcPr>
          <w:p w14:paraId="01A6C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Здания и сооружения для проведения официальных физкультурно-оздоровите-льных и спортивных мероприятий (включая физкультурно – оздорови-тельные комплексы), объект</w:t>
            </w:r>
          </w:p>
        </w:tc>
        <w:tc>
          <w:tcPr>
            <w:tcW w:w="2683" w:type="dxa"/>
          </w:tcPr>
          <w:p w14:paraId="2C285A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объект на 5 тыс. жителей</w:t>
            </w:r>
          </w:p>
        </w:tc>
        <w:tc>
          <w:tcPr>
            <w:tcW w:w="2807" w:type="dxa"/>
          </w:tcPr>
          <w:p w14:paraId="5E974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 км</w:t>
            </w:r>
          </w:p>
        </w:tc>
      </w:tr>
      <w:tr w14:paraId="5470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94" w:type="dxa"/>
          </w:tcPr>
          <w:p w14:paraId="4F505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3271" w:type="dxa"/>
          </w:tcPr>
          <w:p w14:paraId="29346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Здания и сооружения муниципальных центров спортивной подготовки, спортивных школ, иные объекты спортивного назначения, находящиеся в муниципальной собствен-ности или решение о создании которых прини-мают органы местного самоуправления</w:t>
            </w:r>
          </w:p>
        </w:tc>
        <w:tc>
          <w:tcPr>
            <w:tcW w:w="2683" w:type="dxa"/>
          </w:tcPr>
          <w:p w14:paraId="0FB1E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заданию на проектирование</w:t>
            </w:r>
          </w:p>
        </w:tc>
        <w:tc>
          <w:tcPr>
            <w:tcW w:w="2807" w:type="dxa"/>
          </w:tcPr>
          <w:p w14:paraId="1B455C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нормируется</w:t>
            </w:r>
          </w:p>
        </w:tc>
      </w:tr>
      <w:tr w14:paraId="5E5C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94" w:type="dxa"/>
          </w:tcPr>
          <w:p w14:paraId="2A060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3271" w:type="dxa"/>
          </w:tcPr>
          <w:p w14:paraId="53C68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Помещения для физкуль-турно- оздоровительных занятий, кв.м. общей площади на 1 тыс. чел.</w:t>
            </w:r>
          </w:p>
        </w:tc>
        <w:tc>
          <w:tcPr>
            <w:tcW w:w="2683" w:type="dxa"/>
          </w:tcPr>
          <w:p w14:paraId="7D097C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807" w:type="dxa"/>
          </w:tcPr>
          <w:p w14:paraId="200580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 метров</w:t>
            </w:r>
          </w:p>
        </w:tc>
      </w:tr>
      <w:tr w14:paraId="436A8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94" w:type="dxa"/>
          </w:tcPr>
          <w:p w14:paraId="687298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3271" w:type="dxa"/>
          </w:tcPr>
          <w:p w14:paraId="1410D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Спортивные залы общего пользования, кв.м. площа-ди пола на 1 тыс. чел.</w:t>
            </w:r>
          </w:p>
        </w:tc>
        <w:tc>
          <w:tcPr>
            <w:tcW w:w="2683" w:type="dxa"/>
          </w:tcPr>
          <w:p w14:paraId="6F13B6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807" w:type="dxa"/>
          </w:tcPr>
          <w:p w14:paraId="4683E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 км</w:t>
            </w:r>
          </w:p>
        </w:tc>
      </w:tr>
      <w:tr w14:paraId="50F67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355" w:type="dxa"/>
            <w:gridSpan w:val="4"/>
          </w:tcPr>
          <w:p w14:paraId="438BA1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  <w:p w14:paraId="60951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Примечания:</w:t>
            </w:r>
          </w:p>
          <w:p w14:paraId="00094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Для иных объектов местного значения в области физической культуры и спорта не указанных в таблице 6 расчетные показатели применяются в соответствии с заданием на проектирование.</w:t>
            </w:r>
          </w:p>
          <w:p w14:paraId="18B06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 Вместимость учреждений и организаций в области физической культуры и спорта и размеры их земельных участков следует принимать в соответствии с требованиями приложения Ж СП 42.13330.2011 или заданием на проектирование.</w:t>
            </w:r>
          </w:p>
          <w:p w14:paraId="16F83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C2D336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</w:p>
    <w:p w14:paraId="3ACF464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2.4. Расчетные показатели минимального допустимого уровня </w:t>
      </w:r>
    </w:p>
    <w:p w14:paraId="1F3FF58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обеспеченности объектами в области образования и расчетные</w:t>
      </w:r>
    </w:p>
    <w:p w14:paraId="2B9EECB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показатели максимально допустимого уровня территориальной </w:t>
      </w:r>
    </w:p>
    <w:p w14:paraId="767F558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доступности таких объектов</w:t>
      </w:r>
    </w:p>
    <w:p w14:paraId="241554B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</w:p>
    <w:p w14:paraId="7F355FD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b/>
          <w:spacing w:val="-4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2.4.1.</w:t>
      </w:r>
      <w:r>
        <w:rPr>
          <w:rFonts w:ascii="Times New Roman" w:hAnsi="Times New Roman"/>
          <w:bCs/>
          <w:sz w:val="20"/>
          <w:szCs w:val="20"/>
        </w:rPr>
        <w:t>Расчетные показатели минимального допустимого уровня обеспеченности объектами в области образования и расчетные показатели максимально допустимого уровня территориальной доступности таких объектов</w:t>
      </w:r>
      <w:r>
        <w:rPr>
          <w:rFonts w:ascii="Times New Roman" w:hAnsi="Times New Roman"/>
          <w:sz w:val="20"/>
          <w:szCs w:val="20"/>
        </w:rPr>
        <w:t xml:space="preserve">  приведены в таблице 7.                                                         </w:t>
      </w:r>
    </w:p>
    <w:p w14:paraId="63C7DEC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Таблица 7 </w:t>
      </w:r>
    </w:p>
    <w:tbl>
      <w:tblPr>
        <w:tblStyle w:val="3"/>
        <w:tblW w:w="9200" w:type="dxa"/>
        <w:tblCellSpacing w:w="0" w:type="dxa"/>
        <w:tblInd w:w="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600"/>
        <w:gridCol w:w="3300"/>
        <w:gridCol w:w="2600"/>
        <w:gridCol w:w="2700"/>
      </w:tblGrid>
      <w:tr w14:paraId="3ABDB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0" w:type="dxa"/>
            <w:tcBorders>
              <w:top w:val="single" w:color="auto" w:sz="4" w:space="0"/>
            </w:tcBorders>
          </w:tcPr>
          <w:p w14:paraId="15CC7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300" w:type="dxa"/>
            <w:tcBorders>
              <w:top w:val="single" w:color="auto" w:sz="4" w:space="0"/>
            </w:tcBorders>
          </w:tcPr>
          <w:p w14:paraId="43523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Учреждение, организация, единица измерения</w:t>
            </w:r>
          </w:p>
        </w:tc>
        <w:tc>
          <w:tcPr>
            <w:tcW w:w="2600" w:type="dxa"/>
            <w:tcBorders>
              <w:top w:val="single" w:color="auto" w:sz="4" w:space="0"/>
            </w:tcBorders>
          </w:tcPr>
          <w:p w14:paraId="24912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</w:t>
            </w:r>
          </w:p>
        </w:tc>
        <w:tc>
          <w:tcPr>
            <w:tcW w:w="2700" w:type="dxa"/>
            <w:tcBorders>
              <w:top w:val="single" w:color="auto" w:sz="4" w:space="0"/>
            </w:tcBorders>
          </w:tcPr>
          <w:p w14:paraId="6B195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объектов</w:t>
            </w:r>
          </w:p>
        </w:tc>
      </w:tr>
      <w:tr w14:paraId="22409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0" w:type="dxa"/>
          </w:tcPr>
          <w:p w14:paraId="39E9B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00" w:type="dxa"/>
          </w:tcPr>
          <w:p w14:paraId="23FCC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600" w:type="dxa"/>
          </w:tcPr>
          <w:p w14:paraId="315CC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14:paraId="3DFA5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14:paraId="5E76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584" w:hRule="atLeast"/>
          <w:tblCellSpacing w:w="0" w:type="dxa"/>
        </w:trPr>
        <w:tc>
          <w:tcPr>
            <w:tcW w:w="600" w:type="dxa"/>
            <w:vMerge w:val="restart"/>
          </w:tcPr>
          <w:p w14:paraId="31A61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00" w:type="dxa"/>
          </w:tcPr>
          <w:p w14:paraId="7565E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6"/>
                <w:sz w:val="20"/>
                <w:szCs w:val="20"/>
              </w:rPr>
              <w:t>Детские дошкольные организации, мест на 1 тыс. жителей</w:t>
            </w:r>
          </w:p>
        </w:tc>
        <w:tc>
          <w:tcPr>
            <w:tcW w:w="2600" w:type="dxa"/>
          </w:tcPr>
          <w:p w14:paraId="4EC0A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14:paraId="45A43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0CCE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0" w:type="dxa"/>
            <w:vMerge w:val="continue"/>
          </w:tcPr>
          <w:p w14:paraId="22850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</w:tcPr>
          <w:p w14:paraId="3916F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сельское поселение</w:t>
            </w:r>
          </w:p>
        </w:tc>
        <w:tc>
          <w:tcPr>
            <w:tcW w:w="2600" w:type="dxa"/>
          </w:tcPr>
          <w:p w14:paraId="13AB2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 мест</w:t>
            </w:r>
          </w:p>
        </w:tc>
        <w:tc>
          <w:tcPr>
            <w:tcW w:w="2700" w:type="dxa"/>
          </w:tcPr>
          <w:p w14:paraId="57224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км  пешеходной и 10 км транспортной доступности*</w:t>
            </w:r>
          </w:p>
        </w:tc>
      </w:tr>
      <w:tr w14:paraId="34596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630" w:hRule="atLeast"/>
          <w:tblCellSpacing w:w="0" w:type="dxa"/>
        </w:trPr>
        <w:tc>
          <w:tcPr>
            <w:tcW w:w="600" w:type="dxa"/>
            <w:vMerge w:val="restart"/>
          </w:tcPr>
          <w:p w14:paraId="4904B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00" w:type="dxa"/>
          </w:tcPr>
          <w:p w14:paraId="39125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Общеобразовательные школы, мест на 1 тыс. жителей</w:t>
            </w:r>
          </w:p>
        </w:tc>
        <w:tc>
          <w:tcPr>
            <w:tcW w:w="2600" w:type="dxa"/>
          </w:tcPr>
          <w:p w14:paraId="13C04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14:paraId="6A096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ED32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0" w:type="dxa"/>
            <w:vMerge w:val="continue"/>
          </w:tcPr>
          <w:p w14:paraId="57C8C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</w:tcPr>
          <w:p w14:paraId="30FDE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сельское поселение</w:t>
            </w:r>
          </w:p>
        </w:tc>
        <w:tc>
          <w:tcPr>
            <w:tcW w:w="2600" w:type="dxa"/>
          </w:tcPr>
          <w:p w14:paraId="4B2E2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 мест</w:t>
            </w:r>
          </w:p>
        </w:tc>
        <w:tc>
          <w:tcPr>
            <w:tcW w:w="2700" w:type="dxa"/>
          </w:tcPr>
          <w:p w14:paraId="6E1BED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учащихся I ступени обучения – 2 км  пешеходной и 10 км транспортной доступности;</w:t>
            </w:r>
          </w:p>
          <w:p w14:paraId="319BE8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для учащихся II - III ступеней – 4 км пешеходной и 10 км  транспортной доступности*</w:t>
            </w:r>
          </w:p>
        </w:tc>
      </w:tr>
      <w:tr w14:paraId="281D7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365" w:hRule="atLeast"/>
          <w:tblCellSpacing w:w="0" w:type="dxa"/>
        </w:trPr>
        <w:tc>
          <w:tcPr>
            <w:tcW w:w="9200" w:type="dxa"/>
            <w:gridSpan w:val="4"/>
            <w:tcBorders>
              <w:bottom w:val="single" w:color="auto" w:sz="4" w:space="0"/>
            </w:tcBorders>
          </w:tcPr>
          <w:p w14:paraId="55D877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Для объектов указанных в пунктах 1 и 2 таблицы 3 допускается в местных нормативах градостроительного проектирования, устанавливать  расчетные показатели, превышающие установленные, при соответствующем обосновании, выполненном на основе социально-демографического состава, плотности населения, социально-экономических условий развития сельского поселения, при обеспечении  подвозки детей до общеобразовательных организаций.</w:t>
            </w:r>
          </w:p>
          <w:p w14:paraId="34F2C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Примечания:</w:t>
            </w:r>
          </w:p>
          <w:p w14:paraId="68087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Пути подходов учащихся к общеобразовательным школам с начальными классами не должны пересекать проезжую часть магистральных улиц в одном уровне согласно требованиям примечания 2 таблицы 5 пункта 10.4 СП 42.13330.2011.</w:t>
            </w:r>
          </w:p>
          <w:p w14:paraId="639DFA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Вместимость учреждений и организаций в области внешкольного обслуживания и размеры их земельных участков следует принимать в соответствии с требованиями приложения Ж СП 42.13330.2011.</w:t>
            </w:r>
          </w:p>
          <w:p w14:paraId="33D35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Размеры земельных участков учреждений и предприятий обслуживания, не указанных в 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"file:///C:\\Users\\%D0%A1%D0%B2%D0%B5%D1%82%D0%BB%D0%B0%D0%BD%D0%B0\\Desktop\\%D0%9F%D1%80%D0%BE%D0%B5%D0%BA%D1%82-%D0%9D%D0%BE%D1%80%D0%BC%D0%B0%D1%82%D0%B8%D0%B2%D1%8B-%D1%81%D0%B0%D0%B9%D1%82.doc" \l "Par2116"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</w:rPr>
              <w:t>приложении Ж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СП 42.13330.2011, следует принимать по заданию на проектирование.</w:t>
            </w:r>
          </w:p>
          <w:p w14:paraId="0591E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Участки детских дошкольных организаций, не должны примыкать непосредственно к магистральным улицам.</w:t>
            </w:r>
          </w:p>
        </w:tc>
      </w:tr>
    </w:tbl>
    <w:p w14:paraId="476A349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spacing w:val="-24"/>
          <w:sz w:val="20"/>
          <w:szCs w:val="20"/>
        </w:rPr>
      </w:pPr>
    </w:p>
    <w:p w14:paraId="4B9CD63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2.5. Расчетные показатели минимально допустимого уровня</w:t>
      </w:r>
    </w:p>
    <w:p w14:paraId="4E37AF2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обеспеченности  объектами в области здравоохранения                  </w:t>
      </w:r>
    </w:p>
    <w:p w14:paraId="39E7CEB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и расчетные показатели максимально допустимого </w:t>
      </w:r>
    </w:p>
    <w:p w14:paraId="14610FA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уровня территориальной доступности таких объектов</w:t>
      </w:r>
    </w:p>
    <w:p w14:paraId="2A236FB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377F080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2.5.1.Расчетные показатели минимально допустимого уровня  обеспеченности  объектами в области здравоохранения   и расчетные показатели максимально допустимого  уровня территориальной доступности таких объектов</w:t>
      </w:r>
      <w:r>
        <w:rPr>
          <w:rFonts w:ascii="Times New Roman" w:hAnsi="Times New Roman"/>
          <w:sz w:val="20"/>
          <w:szCs w:val="20"/>
        </w:rPr>
        <w:t xml:space="preserve"> приведены в таблице 8.                                                         </w:t>
      </w:r>
    </w:p>
    <w:p w14:paraId="4F581D8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Таблица 8</w:t>
      </w:r>
    </w:p>
    <w:tbl>
      <w:tblPr>
        <w:tblStyle w:val="3"/>
        <w:tblW w:w="0" w:type="auto"/>
        <w:tblCellSpacing w:w="0" w:type="dxa"/>
        <w:tblInd w:w="75" w:type="dxa"/>
        <w:tblLayout w:type="autofit"/>
        <w:tblCellMar>
          <w:top w:w="0" w:type="dxa"/>
          <w:left w:w="75" w:type="dxa"/>
          <w:bottom w:w="0" w:type="dxa"/>
          <w:right w:w="75" w:type="dxa"/>
        </w:tblCellMar>
      </w:tblPr>
      <w:tblGrid>
        <w:gridCol w:w="603"/>
        <w:gridCol w:w="3299"/>
        <w:gridCol w:w="2599"/>
        <w:gridCol w:w="2699"/>
      </w:tblGrid>
      <w:tr w14:paraId="6823037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1F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33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Учреждение, организация, единица измерения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8A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AB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 допустимый уровень территориальной доступности объектов</w:t>
            </w:r>
          </w:p>
        </w:tc>
      </w:tr>
      <w:tr w14:paraId="466F73F7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A4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A7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73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61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14:paraId="6F1BB42D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487" w:hRule="atLeast"/>
          <w:tblCellSpacing w:w="0" w:type="dxa"/>
        </w:trPr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D9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3E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Фельдшерско-акушерские пункты, объект 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1B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B4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нормируется</w:t>
            </w:r>
          </w:p>
          <w:p w14:paraId="2485B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97BDCEA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12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6E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сельские поселения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17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на 300 человек</w:t>
            </w:r>
          </w:p>
        </w:tc>
        <w:tc>
          <w:tcPr>
            <w:tcW w:w="26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7B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94EB57F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6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0B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CA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Отделения общей врачебной (семейной) практики, 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C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277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нормируется</w:t>
            </w:r>
          </w:p>
          <w:p w14:paraId="66AB5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C980450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840" w:hRule="atLeast"/>
          <w:tblCellSpacing w:w="0" w:type="dxa"/>
        </w:trPr>
        <w:tc>
          <w:tcPr>
            <w:tcW w:w="6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6B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763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участке врача семейной практики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DA38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1500 человек взрослого и детского населения</w:t>
            </w:r>
          </w:p>
        </w:tc>
        <w:tc>
          <w:tcPr>
            <w:tcW w:w="269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DE1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B86CEEF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505" w:hRule="atLeast"/>
          <w:tblCellSpacing w:w="0" w:type="dxa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56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842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Аптеки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41A9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891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нормируется</w:t>
            </w:r>
          </w:p>
        </w:tc>
      </w:tr>
      <w:tr w14:paraId="2464B4D6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513" w:hRule="atLeast"/>
          <w:tblCellSpacing w:w="0" w:type="dxa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FE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CC8A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Амбулатория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30B7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2000 человек</w:t>
            </w:r>
          </w:p>
        </w:tc>
        <w:tc>
          <w:tcPr>
            <w:tcW w:w="269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9DF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нормируется</w:t>
            </w:r>
          </w:p>
        </w:tc>
      </w:tr>
      <w:tr w14:paraId="237DD67B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1265" w:hRule="atLeast"/>
          <w:tblCellSpacing w:w="0" w:type="dxa"/>
        </w:trPr>
        <w:tc>
          <w:tcPr>
            <w:tcW w:w="92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B57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Примечания:</w:t>
            </w:r>
          </w:p>
          <w:p w14:paraId="02E25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 Показатель обеспечения койками в больничных учреждениях не должен учитывать места в дневных стационарах.</w:t>
            </w:r>
          </w:p>
          <w:p w14:paraId="60E06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Фельдшерско-акушерский пункт следует размещать в сельских населенных пунктах с численностью населения 300 человек, отдаленных от других населенных пунктов водными и другими преградами.</w:t>
            </w:r>
          </w:p>
          <w:p w14:paraId="4115E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В сельских населенных пунктах следует размещать 1 аптеку или аптечный пункт на сельское поселение. Аптечный пункт следует размещать в случае отсутствия аптеки на территории населенного пункта. В сельских населенных пунктах допускается размещать 1 аптечный пункт на несколько населенных пунктов при соответствующем обосновании.</w:t>
            </w:r>
          </w:p>
          <w:p w14:paraId="7CF16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4. Лечебно-профилактические организации (далее - ЛПО) размещаются в соответствии с требованиями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"consultantplus://offline/ref=0CF3DAF9887577D446AB116F24AB0F87464700D31BB125A085796926FB9A9C0954874A95585F12ABz7ZEH"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</w:rPr>
              <w:t>СанПиН 2.1.3.2630-10</w:t>
            </w:r>
            <w:r>
              <w:rPr>
                <w:rFonts w:ascii="Times New Roman" w:hAnsi="Times New Roman"/>
                <w:sz w:val="20"/>
                <w:szCs w:val="20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8CB44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 Вместимость учреждений и организаций в области здравоохранения и размеры их земельных участков следует принимать в соответствии с требованиями приложения Ж СП 42.13330.2011 и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"consultantplus://offline/ref=0CF3DAF9887577D446AB116F24AB0F87464700D31BB125A085796926FB9A9C0954874A95585F12ABz7ZEH"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СанПиН 2.1.3.2630-10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1ACC2DC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b/>
          <w:sz w:val="20"/>
          <w:szCs w:val="20"/>
        </w:rPr>
      </w:pPr>
    </w:p>
    <w:p w14:paraId="241211C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b/>
          <w:spacing w:val="-16"/>
          <w:sz w:val="20"/>
          <w:szCs w:val="20"/>
        </w:rPr>
      </w:pPr>
    </w:p>
    <w:p w14:paraId="0ACF29D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</w:p>
    <w:p w14:paraId="7CFC342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2.6.  Расчетные показатели минимально допустимого</w:t>
      </w:r>
    </w:p>
    <w:p w14:paraId="0B1EFE1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уровня обеспеченности объектами в области утилизации </w:t>
      </w:r>
    </w:p>
    <w:p w14:paraId="2210067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 переработки бытовых и промышленных отходов</w:t>
      </w:r>
    </w:p>
    <w:p w14:paraId="7DF125C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</w:p>
    <w:p w14:paraId="14AF639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</w:p>
    <w:p w14:paraId="18ABBBD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2.6.1. Нормы накопления бытовых отходов на территории Родыгинского сельского поселения приведены в таблице 9.</w:t>
      </w:r>
    </w:p>
    <w:p w14:paraId="208EA883">
      <w:pPr>
        <w:keepNext w:val="0"/>
        <w:keepLines w:val="0"/>
        <w:pageBreakBefore w:val="0"/>
        <w:tabs>
          <w:tab w:val="left" w:pos="900"/>
        </w:tabs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9</w:t>
      </w:r>
    </w:p>
    <w:p w14:paraId="673E1FC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outlineLvl w:val="0"/>
        <w:rPr>
          <w:rFonts w:ascii="Times New Roman" w:hAnsi="Times New Roman"/>
          <w:sz w:val="20"/>
          <w:szCs w:val="20"/>
        </w:rPr>
      </w:pPr>
    </w:p>
    <w:tbl>
      <w:tblPr>
        <w:tblStyle w:val="3"/>
        <w:tblW w:w="963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</w:tblPr>
      <w:tblGrid>
        <w:gridCol w:w="6293"/>
        <w:gridCol w:w="1587"/>
        <w:gridCol w:w="1757"/>
      </w:tblGrid>
      <w:tr w14:paraId="0BC95355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12B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Виды отходов</w:t>
            </w:r>
          </w:p>
        </w:tc>
        <w:tc>
          <w:tcPr>
            <w:tcW w:w="33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DB9D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Удельные нормы накопления на 1 человека в год</w:t>
            </w:r>
          </w:p>
        </w:tc>
      </w:tr>
      <w:tr w14:paraId="02B407AF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183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Твердые бытовые отходы: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4819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6A5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33627FE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744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жилых зданий, оборудованных водопроводом, канализацией, центральным отоплением, газом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4D4A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190 - 225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933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900 - 1000</w:t>
            </w:r>
          </w:p>
        </w:tc>
      </w:tr>
      <w:tr w14:paraId="42FE7929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F06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прочих жилых зданий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FBA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300 - 450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09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1100 - 1500</w:t>
            </w:r>
          </w:p>
        </w:tc>
      </w:tr>
      <w:tr w14:paraId="649E815C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12D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общее количество по поселению с учетом общественных зданий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C3B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280 - 300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259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1400 - 1500</w:t>
            </w:r>
          </w:p>
        </w:tc>
      </w:tr>
      <w:tr w14:paraId="47539D84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2905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Крупногабаритные отходы: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63F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ED5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AD07023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E71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смет с 1 кв. м твердых покрытий улиц, площадей, парков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D81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5 - 15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30CA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8 - 20</w:t>
            </w:r>
          </w:p>
        </w:tc>
      </w:tr>
      <w:tr w14:paraId="555574E4">
        <w:tblPrEx>
          <w:tblCellMar>
            <w:top w:w="75" w:type="dxa"/>
            <w:left w:w="0" w:type="dxa"/>
            <w:bottom w:w="75" w:type="dxa"/>
            <w:right w:w="0" w:type="dxa"/>
          </w:tblCellMar>
        </w:tblPrEx>
        <w:trPr>
          <w:trHeight w:val="50" w:hRule="atLeast"/>
        </w:trPr>
        <w:tc>
          <w:tcPr>
            <w:tcW w:w="6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481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жидкие бытовые отходы из выгребов (в неканализованной застройке)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3323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224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2000 - 3500</w:t>
            </w:r>
          </w:p>
        </w:tc>
      </w:tr>
    </w:tbl>
    <w:p w14:paraId="0F4A5D5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textAlignment w:val="auto"/>
        <w:rPr>
          <w:sz w:val="20"/>
          <w:szCs w:val="20"/>
        </w:rPr>
      </w:pPr>
    </w:p>
    <w:p w14:paraId="50A94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2.7.Минимальные расчетные показатели для объектов в иных областях и расчетные показатели максимально допустимого уровня территориальной доступности таких объектов</w:t>
      </w:r>
    </w:p>
    <w:p w14:paraId="1EBC3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20C3CB6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2.7.1.Минимальные расчетные показатели для объектов в иных областях и расчетные показатели максимально допустимого уровня территориальной доступности таких объектов приведены в таблице 10. </w:t>
      </w:r>
    </w:p>
    <w:p w14:paraId="04D02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</w:p>
    <w:p w14:paraId="7F042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</w:p>
    <w:p w14:paraId="0DF9A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10</w:t>
      </w:r>
    </w:p>
    <w:tbl>
      <w:tblPr>
        <w:tblStyle w:val="3"/>
        <w:tblW w:w="9400" w:type="dxa"/>
        <w:tblCellSpacing w:w="0" w:type="dxa"/>
        <w:tblInd w:w="75" w:type="dxa"/>
        <w:tblLayout w:type="fixed"/>
        <w:tblCellMar>
          <w:top w:w="0" w:type="dxa"/>
          <w:left w:w="75" w:type="dxa"/>
          <w:bottom w:w="0" w:type="dxa"/>
          <w:right w:w="75" w:type="dxa"/>
        </w:tblCellMar>
      </w:tblPr>
      <w:tblGrid>
        <w:gridCol w:w="850"/>
        <w:gridCol w:w="50"/>
        <w:gridCol w:w="3000"/>
        <w:gridCol w:w="3000"/>
        <w:gridCol w:w="74"/>
        <w:gridCol w:w="2426"/>
      </w:tblGrid>
      <w:tr w14:paraId="2E213A17">
        <w:trPr>
          <w:tblCellSpacing w:w="0" w:type="dxa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1A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596B9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6D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Объект,</w:t>
            </w:r>
          </w:p>
          <w:p w14:paraId="37D53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8B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Минимально допустимый уровень обеспеченности объектами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6A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Максимально допустимый уровень доступности объектов</w:t>
            </w:r>
          </w:p>
        </w:tc>
      </w:tr>
      <w:tr w14:paraId="56AF1EDE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BE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9A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61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29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14:paraId="5A2E65F2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94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FB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Территории общего пользования рекреационного назначения местного значения</w:t>
            </w:r>
          </w:p>
        </w:tc>
      </w:tr>
      <w:tr w14:paraId="7D1166C3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9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D5C0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  <w:p w14:paraId="046E8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5B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</w:rPr>
              <w:t>Размер населенного пункта:</w:t>
            </w:r>
          </w:p>
        </w:tc>
        <w:tc>
          <w:tcPr>
            <w:tcW w:w="3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05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Суммарная площадь озелененных территорий общего пользования, кв.м/чел. 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E3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414CF506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rHeight w:val="651" w:hRule="atLeast"/>
          <w:tblCellSpacing w:w="0" w:type="dxa"/>
        </w:trPr>
        <w:tc>
          <w:tcPr>
            <w:tcW w:w="9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B7AB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B2BF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Сельский населенный пункт</w:t>
            </w:r>
          </w:p>
        </w:tc>
        <w:tc>
          <w:tcPr>
            <w:tcW w:w="307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D244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E338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нормируется</w:t>
            </w:r>
          </w:p>
        </w:tc>
      </w:tr>
      <w:tr w14:paraId="2A4C3BE9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94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F6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spacing w:val="-4"/>
                <w:sz w:val="20"/>
                <w:szCs w:val="20"/>
              </w:rPr>
              <w:t>Объекты ритуальных услуг местного значения</w:t>
            </w:r>
          </w:p>
        </w:tc>
      </w:tr>
      <w:tr w14:paraId="46FBAA6F">
        <w:tblPrEx>
          <w:tblCellMar>
            <w:top w:w="0" w:type="dxa"/>
            <w:left w:w="75" w:type="dxa"/>
            <w:bottom w:w="0" w:type="dxa"/>
            <w:right w:w="75" w:type="dxa"/>
          </w:tblCellMar>
        </w:tblPrEx>
        <w:trPr>
          <w:tblCellSpacing w:w="0" w:type="dxa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9F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92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Кладбище традиционного захоронения, на 1 тыс. чел.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19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Размер земельного участка 0,24 га</w:t>
            </w:r>
          </w:p>
        </w:tc>
        <w:tc>
          <w:tcPr>
            <w:tcW w:w="2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53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spacing w:val="-4"/>
                <w:sz w:val="20"/>
                <w:szCs w:val="20"/>
              </w:rPr>
              <w:t>В соответствии с санитарными правилами</w:t>
            </w:r>
          </w:p>
        </w:tc>
      </w:tr>
    </w:tbl>
    <w:p w14:paraId="0B842DE9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</w:p>
    <w:p w14:paraId="6AECCC6E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2.7.2.Устройство кладбища осуществляется в соответствии с утвержденным в установленном порядке проектом.</w:t>
      </w:r>
    </w:p>
    <w:p w14:paraId="30E9AF22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2.7.3.При организации кладбищ должны учитываться требования:</w:t>
      </w:r>
    </w:p>
    <w:p w14:paraId="10690EC7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- зонирования территории (зоны: входная, ритуальная, административно-хозяйственная, захоронений, а также зеленой защиты по периметру кладбища);</w:t>
      </w:r>
    </w:p>
    <w:p w14:paraId="2A8AC515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- организации подъездных путей и автостоянок;</w:t>
      </w:r>
    </w:p>
    <w:p w14:paraId="002AE3DB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Площадь мест захоронения должна составлять 65 - 70% общей площади кладбища.</w:t>
      </w:r>
    </w:p>
    <w:p w14:paraId="435D30CF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2.7.4.На территориях санитарно-защитных зон кладбищ, крематориев, зданий и сооружений похоронного назначения не разрешается строительство зданий и сооружений, не связанных с обслуживанием указанных объектов, за исключением культовых и обрядовых объектов.</w:t>
      </w:r>
    </w:p>
    <w:p w14:paraId="386BDA75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 2.7.5.Требования к площадкам захоронения отходов производства и потребления следует принимать согласно СанПиН 2.1.7.1322-03.</w:t>
      </w:r>
      <w:r>
        <w:rPr>
          <w:color w:val="FF0000"/>
          <w:sz w:val="20"/>
          <w:szCs w:val="20"/>
        </w:rPr>
        <w:t> </w:t>
      </w:r>
    </w:p>
    <w:p w14:paraId="43D4CFE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</w:p>
    <w:p w14:paraId="2F4CF79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2.8. Расчетные показатели в </w:t>
      </w:r>
    </w:p>
    <w:p w14:paraId="667554B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сфере жилищного строительства</w:t>
      </w:r>
    </w:p>
    <w:p w14:paraId="2003C87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</w:p>
    <w:p w14:paraId="29276990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2.8.1.Социальный норматив жилищной обеспеченности:</w:t>
      </w:r>
    </w:p>
    <w:p w14:paraId="761DB79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первую очередь строительства - 20 кв. м общей площади/человека;</w:t>
      </w:r>
    </w:p>
    <w:p w14:paraId="66E0C9C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 расчетный срок - 23 кв. м общей площади/человека.</w:t>
      </w:r>
    </w:p>
    <w:p w14:paraId="65944AFB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bCs/>
          <w:sz w:val="20"/>
          <w:szCs w:val="20"/>
        </w:rPr>
        <w:t>2.8.2.Предельные размеры  земельных участков</w:t>
      </w:r>
    </w:p>
    <w:p w14:paraId="784394F9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Минимальные размеры  земельного участка (включая площадь застройки) принимаются:</w:t>
      </w:r>
    </w:p>
    <w:p w14:paraId="4C237DE6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для индивидуальных жилых домов  - 400 кв. м;</w:t>
      </w:r>
    </w:p>
    <w:p w14:paraId="09B9B2D3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для блокированных жилых домов - 400 кв. м;</w:t>
      </w:r>
    </w:p>
    <w:p w14:paraId="0BB6E71B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для многоквартирных отдельно стоящих  или секционных жилых домов (из расчета на 1 квартиру) 75 кв.м.</w:t>
      </w:r>
    </w:p>
    <w:p w14:paraId="60F2D027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2.8.3. Максимальные размеры  земельного участка (включая площадь застройки) принимаются: </w:t>
      </w:r>
    </w:p>
    <w:p w14:paraId="37630DE8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для индивидуальных жилых домов  - 5000 кв. м;</w:t>
      </w:r>
    </w:p>
    <w:p w14:paraId="37DD89B4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блокированных жилых домов - 400 кв. м;</w:t>
      </w:r>
    </w:p>
    <w:p w14:paraId="48B13767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многоквартирных отдельно стоящих  или секционных жилых домов (из расчета на 1 квартиру) 75 кв.м.</w:t>
      </w:r>
    </w:p>
    <w:p w14:paraId="350D1818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2.8.4.Минимальные размеры участка, предоставляемого для сельскохозяйственного использования и дачного строительства:</w:t>
      </w:r>
    </w:p>
    <w:p w14:paraId="1BE6CBD3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ведения садоводства - 400 кв. м;</w:t>
      </w:r>
    </w:p>
    <w:p w14:paraId="7D4F9087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ведения огородничества - 200 кв. м;</w:t>
      </w:r>
    </w:p>
    <w:p w14:paraId="421EA091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ведения крестьянского (фермерского) хозяйства – 1,0 га;</w:t>
      </w:r>
    </w:p>
    <w:p w14:paraId="7B94CA6D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дачного строительства - 400 кв. м.</w:t>
      </w:r>
    </w:p>
    <w:p w14:paraId="3872E3A4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2.8.5.Максимальные размеры участка, предоставляемого для сельскохозяйственного использования и дачного строительства:</w:t>
      </w:r>
    </w:p>
    <w:p w14:paraId="4E4486E6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ведения садоводства - 600 кв. м;</w:t>
      </w:r>
    </w:p>
    <w:p w14:paraId="0946C153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ведения огородничества - 400 кв. м;</w:t>
      </w:r>
    </w:p>
    <w:p w14:paraId="213CB2CF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ведения крестьянского (фермерского) хозяйства – 1,0 кв.м.;</w:t>
      </w:r>
    </w:p>
    <w:p w14:paraId="6F72BFA4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ведения животноводства – 1,0 кв.м.;</w:t>
      </w:r>
    </w:p>
    <w:p w14:paraId="4EA6F499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  <w:r>
        <w:rPr>
          <w:sz w:val="20"/>
          <w:szCs w:val="20"/>
        </w:rPr>
        <w:t>для дачного строительства - 400 кв. м.</w:t>
      </w:r>
    </w:p>
    <w:p w14:paraId="50714E7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2.8.6.Укрупненные нормативы потребности в территориях функциональных зон сельских поселений привелены в таблице 11.</w:t>
      </w:r>
    </w:p>
    <w:p w14:paraId="744C13FA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11</w:t>
      </w:r>
    </w:p>
    <w:p w14:paraId="45B7CA0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</w:p>
    <w:tbl>
      <w:tblPr>
        <w:tblStyle w:val="3"/>
        <w:tblW w:w="9643" w:type="dxa"/>
        <w:jc w:val="center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005"/>
        <w:gridCol w:w="1608"/>
        <w:gridCol w:w="2030"/>
      </w:tblGrid>
      <w:tr w14:paraId="6F1A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60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79E3A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Функциональные зоны</w:t>
            </w:r>
          </w:p>
        </w:tc>
        <w:tc>
          <w:tcPr>
            <w:tcW w:w="1608" w:type="dxa"/>
            <w:shd w:val="clear" w:color="auto" w:fill="FFFFFF"/>
          </w:tcPr>
          <w:p w14:paraId="3A984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Га/1000 человек</w:t>
            </w:r>
          </w:p>
        </w:tc>
        <w:tc>
          <w:tcPr>
            <w:tcW w:w="2030" w:type="dxa"/>
            <w:shd w:val="clear" w:color="auto" w:fill="FFFFFF"/>
          </w:tcPr>
          <w:p w14:paraId="2C06B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от перспективной площади %</w:t>
            </w:r>
          </w:p>
        </w:tc>
      </w:tr>
      <w:tr w14:paraId="5C6F6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581C3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Жилая зона: в т.ч.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1215B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20- 25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2C978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21,9</w:t>
            </w:r>
          </w:p>
        </w:tc>
      </w:tr>
      <w:tr w14:paraId="63112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552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2A6B92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блокированной 1 - 3-этажной застройки с участком 100 кв.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м (без площади застройки)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557D1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7 - 8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12B18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</w:p>
          <w:p w14:paraId="13C19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</w:tr>
      <w:tr w14:paraId="7F92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5DE9F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усадебной застройки с участками &gt;1000 кв. м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49477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40 - 50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401EC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16,40</w:t>
            </w:r>
          </w:p>
        </w:tc>
      </w:tr>
      <w:tr w14:paraId="56C75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15EC15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Общественно-деловые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3FF42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2 - 2,5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30554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2,6</w:t>
            </w:r>
          </w:p>
        </w:tc>
      </w:tr>
      <w:tr w14:paraId="37C8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3AC6F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Производственные 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68194C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3 - 12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4620B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6,9</w:t>
            </w:r>
          </w:p>
        </w:tc>
      </w:tr>
      <w:tr w14:paraId="3F76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6820D6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Сельскохозяйственного использования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4B7BE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 – 60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514F2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42,6</w:t>
            </w:r>
          </w:p>
        </w:tc>
      </w:tr>
      <w:tr w14:paraId="5B3A8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72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6F194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Рекреационные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0721A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10 - 16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50CB39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13,3</w:t>
            </w:r>
          </w:p>
        </w:tc>
      </w:tr>
      <w:tr w14:paraId="39B7B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60" w:hRule="atLeast"/>
          <w:tblCellSpacing w:w="0" w:type="dxa"/>
          <w:jc w:val="center"/>
        </w:trPr>
        <w:tc>
          <w:tcPr>
            <w:tcW w:w="6005" w:type="dxa"/>
            <w:shd w:val="clear" w:color="auto" w:fill="FFFFFF"/>
          </w:tcPr>
          <w:p w14:paraId="2118D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Инженерной и транспортной инфраструктур </w:t>
            </w:r>
          </w:p>
        </w:tc>
        <w:tc>
          <w:tcPr>
            <w:tcW w:w="1608" w:type="dxa"/>
            <w:shd w:val="clear" w:color="auto" w:fill="FFFFFF"/>
            <w:vAlign w:val="center"/>
          </w:tcPr>
          <w:p w14:paraId="5728B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1,5 - 20</w:t>
            </w:r>
          </w:p>
        </w:tc>
        <w:tc>
          <w:tcPr>
            <w:tcW w:w="2030" w:type="dxa"/>
            <w:shd w:val="clear" w:color="auto" w:fill="FFFFFF"/>
            <w:vAlign w:val="center"/>
          </w:tcPr>
          <w:p w14:paraId="53C068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12,7</w:t>
            </w:r>
          </w:p>
        </w:tc>
      </w:tr>
    </w:tbl>
    <w:p w14:paraId="04B9B1A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5921E297">
      <w:pPr>
        <w:pStyle w:val="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left="0" w:right="0" w:firstLine="0"/>
        <w:jc w:val="both"/>
        <w:textAlignment w:val="auto"/>
        <w:rPr>
          <w:sz w:val="20"/>
          <w:szCs w:val="20"/>
        </w:rPr>
      </w:pPr>
    </w:p>
    <w:p w14:paraId="64070A52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2.8.7.Плотность застройки территории жилого района допускается принимать не более приведенной в таблице 12.</w:t>
      </w:r>
    </w:p>
    <w:p w14:paraId="1F5BF7C5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 12</w:t>
      </w:r>
    </w:p>
    <w:tbl>
      <w:tblPr>
        <w:tblStyle w:val="3"/>
        <w:tblW w:w="9431" w:type="dxa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560"/>
        <w:gridCol w:w="3871"/>
      </w:tblGrid>
      <w:tr w14:paraId="49CF2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8" w:hRule="atLeast"/>
          <w:tblCellSpacing w:w="0" w:type="dxa"/>
        </w:trPr>
        <w:tc>
          <w:tcPr>
            <w:tcW w:w="5560" w:type="dxa"/>
            <w:shd w:val="clear" w:color="auto" w:fill="FFFFFF"/>
          </w:tcPr>
          <w:p w14:paraId="0B6C0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средового района</w:t>
            </w:r>
          </w:p>
        </w:tc>
        <w:tc>
          <w:tcPr>
            <w:tcW w:w="3871" w:type="dxa"/>
            <w:shd w:val="clear" w:color="auto" w:fill="FFFFFF"/>
          </w:tcPr>
          <w:p w14:paraId="563FB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Плотность застройки 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территории жилого 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района, кв. м общей 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площади жилых домов/га</w:t>
            </w:r>
          </w:p>
        </w:tc>
      </w:tr>
      <w:tr w14:paraId="75B3D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68" w:hRule="atLeast"/>
          <w:tblCellSpacing w:w="0" w:type="dxa"/>
        </w:trPr>
        <w:tc>
          <w:tcPr>
            <w:tcW w:w="5560" w:type="dxa"/>
            <w:shd w:val="clear" w:color="auto" w:fill="FFFFFF"/>
          </w:tcPr>
          <w:p w14:paraId="430485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Малоэтажная многоквартирная секционная застройка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(2 - 3 этажа)</w:t>
            </w:r>
          </w:p>
        </w:tc>
        <w:tc>
          <w:tcPr>
            <w:tcW w:w="3871" w:type="dxa"/>
            <w:shd w:val="clear" w:color="auto" w:fill="FFFFFF"/>
          </w:tcPr>
          <w:p w14:paraId="3C163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2600</w:t>
            </w:r>
          </w:p>
        </w:tc>
      </w:tr>
      <w:tr w14:paraId="7BBFD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68" w:hRule="atLeast"/>
          <w:tblCellSpacing w:w="0" w:type="dxa"/>
        </w:trPr>
        <w:tc>
          <w:tcPr>
            <w:tcW w:w="5560" w:type="dxa"/>
            <w:shd w:val="clear" w:color="auto" w:fill="FFFFFF"/>
          </w:tcPr>
          <w:p w14:paraId="072A1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Малоэтажная блокированная застройка (блок на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семью) с приквартирными участками (1 - 2 этажа)</w:t>
            </w:r>
          </w:p>
        </w:tc>
        <w:tc>
          <w:tcPr>
            <w:tcW w:w="3871" w:type="dxa"/>
            <w:shd w:val="clear" w:color="auto" w:fill="FFFFFF"/>
          </w:tcPr>
          <w:p w14:paraId="4B027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2900</w:t>
            </w:r>
          </w:p>
        </w:tc>
      </w:tr>
      <w:tr w14:paraId="7E01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0" w:type="dxa"/>
            <w:left w:w="60" w:type="dxa"/>
            <w:bottom w:w="60" w:type="dxa"/>
            <w:right w:w="60" w:type="dxa"/>
          </w:tblCellMar>
        </w:tblPrEx>
        <w:trPr>
          <w:trHeight w:val="156" w:hRule="atLeast"/>
          <w:tblCellSpacing w:w="0" w:type="dxa"/>
        </w:trPr>
        <w:tc>
          <w:tcPr>
            <w:tcW w:w="5560" w:type="dxa"/>
            <w:shd w:val="clear" w:color="auto" w:fill="FFFFFF"/>
          </w:tcPr>
          <w:p w14:paraId="2D5C2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Усадебная (коттеджная) застройка одно-,</w:t>
            </w:r>
            <w:r>
              <w:rPr>
                <w:rFonts w:ascii="Times New Roman" w:hAnsi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sz w:val="20"/>
                <w:szCs w:val="20"/>
              </w:rPr>
              <w:t>двухквартирными домами с приусадебными участками</w:t>
            </w:r>
          </w:p>
        </w:tc>
        <w:tc>
          <w:tcPr>
            <w:tcW w:w="3871" w:type="dxa"/>
            <w:shd w:val="clear" w:color="auto" w:fill="FFFFFF"/>
          </w:tcPr>
          <w:p w14:paraId="3F4AC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</w:t>
            </w:r>
          </w:p>
        </w:tc>
      </w:tr>
    </w:tbl>
    <w:p w14:paraId="3D4AE98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209C027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2.8.8. При подготовке проектной документации для строительства многоквартирного дома на отдельном земельном участке в кварталах существующей застройки населенного пункта для расчета удельных размеров площадок различного функционального назначения следует принимать показатели не менее установленных в таблице 11.</w:t>
      </w:r>
    </w:p>
    <w:p w14:paraId="527AEDE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Обязательными элементами территории земельного участка многоквартирного дома являются:</w:t>
      </w:r>
    </w:p>
    <w:p w14:paraId="515426D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территория под зданием;</w:t>
      </w:r>
    </w:p>
    <w:p w14:paraId="649289F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проезды к зданию, тротуары;</w:t>
      </w:r>
    </w:p>
    <w:p w14:paraId="2A76696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открытые площадки для временного пребывания автомобилей (парковка);</w:t>
      </w:r>
    </w:p>
    <w:p w14:paraId="2945A55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автостоянки для хранения машин;</w:t>
      </w:r>
    </w:p>
    <w:p w14:paraId="6A68FB9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озелененная территория (придомовые зеленые насаждения);</w:t>
      </w:r>
    </w:p>
    <w:p w14:paraId="5983345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площадки для игр детей дошкольного и младшего школьного возраста, для отдыха взрослого населения;</w:t>
      </w:r>
    </w:p>
    <w:p w14:paraId="7A9559B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площадки для занятия физкультурой;</w:t>
      </w:r>
    </w:p>
    <w:p w14:paraId="2952D8C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площадки для хозяйственных целей (в том числе для размещения мусоросборников и хозяйственной площадки).</w:t>
      </w:r>
    </w:p>
    <w:p w14:paraId="7BEBF07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</w:p>
    <w:p w14:paraId="54CB6719">
      <w:pPr>
        <w:keepNext w:val="0"/>
        <w:keepLines w:val="0"/>
        <w:pageBreakBefore w:val="0"/>
        <w:numPr>
          <w:ilvl w:val="1"/>
          <w:numId w:val="2"/>
        </w:numPr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Расчетные показатели минимально допустимого уровня</w:t>
      </w:r>
    </w:p>
    <w:p w14:paraId="313C19A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center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обеспеченности объектами в области предупреждение чрезвычайных ситуаций природного и техногенного характера и ликвидации их последствий и расчетные показатели максимально допустимого уровня территориальной доступности таких объектов</w:t>
      </w:r>
    </w:p>
    <w:p w14:paraId="0A154E7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right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bCs/>
          <w:sz w:val="20"/>
          <w:szCs w:val="20"/>
        </w:rPr>
        <w:t>Таблица 12</w:t>
      </w:r>
    </w:p>
    <w:tbl>
      <w:tblPr>
        <w:tblStyle w:val="3"/>
        <w:tblW w:w="0" w:type="auto"/>
        <w:tblCellSpacing w:w="0" w:type="dxa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9"/>
        <w:gridCol w:w="2701"/>
        <w:gridCol w:w="3348"/>
        <w:gridCol w:w="2487"/>
      </w:tblGrid>
      <w:tr w14:paraId="7C3BA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65" w:type="dxa"/>
          </w:tcPr>
          <w:p w14:paraId="4E8B99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31EF1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3480" w:type="dxa"/>
          </w:tcPr>
          <w:p w14:paraId="2D1861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Объект,</w:t>
            </w:r>
          </w:p>
          <w:p w14:paraId="2D6C0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185" w:type="dxa"/>
          </w:tcPr>
          <w:p w14:paraId="49AAB5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Норма обеспеченности, количество пожарных депо/пожарных автомобилей</w:t>
            </w:r>
          </w:p>
        </w:tc>
        <w:tc>
          <w:tcPr>
            <w:tcW w:w="3030" w:type="dxa"/>
          </w:tcPr>
          <w:p w14:paraId="14E81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Радиус обслуживания</w:t>
            </w:r>
          </w:p>
        </w:tc>
      </w:tr>
      <w:tr w14:paraId="44F9C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65" w:type="dxa"/>
          </w:tcPr>
          <w:p w14:paraId="74945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0" w:type="dxa"/>
          </w:tcPr>
          <w:p w14:paraId="1A86B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85" w:type="dxa"/>
          </w:tcPr>
          <w:p w14:paraId="33758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30" w:type="dxa"/>
          </w:tcPr>
          <w:p w14:paraId="0F558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14:paraId="46DF3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745" w:type="dxa"/>
            <w:gridSpan w:val="4"/>
          </w:tcPr>
          <w:p w14:paraId="1F346D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Объекты аварийно - спасательных служб и (или)                                                                      аварийно-спасательных формирований регионального значения</w:t>
            </w:r>
          </w:p>
        </w:tc>
      </w:tr>
      <w:tr w14:paraId="4DE71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65" w:type="dxa"/>
          </w:tcPr>
          <w:p w14:paraId="791091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80" w:type="dxa"/>
          </w:tcPr>
          <w:p w14:paraId="7180E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Пожарное депо в населенном пункте с населением от 5 тыс. до 20 тыс. чел</w:t>
            </w:r>
          </w:p>
        </w:tc>
        <w:tc>
          <w:tcPr>
            <w:tcW w:w="4185" w:type="dxa"/>
          </w:tcPr>
          <w:p w14:paraId="384FF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3030" w:type="dxa"/>
          </w:tcPr>
          <w:p w14:paraId="1C478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2500 метров</w:t>
            </w:r>
          </w:p>
        </w:tc>
      </w:tr>
      <w:tr w14:paraId="7A428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065" w:type="dxa"/>
          </w:tcPr>
          <w:p w14:paraId="23B4B3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80" w:type="dxa"/>
          </w:tcPr>
          <w:p w14:paraId="58913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Пожарное депо в населенном пункте с населением от 20 тыс. до 50 тыс. чел</w:t>
            </w:r>
          </w:p>
        </w:tc>
        <w:tc>
          <w:tcPr>
            <w:tcW w:w="4185" w:type="dxa"/>
          </w:tcPr>
          <w:p w14:paraId="1834F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2/12</w:t>
            </w:r>
          </w:p>
        </w:tc>
        <w:tc>
          <w:tcPr>
            <w:tcW w:w="3030" w:type="dxa"/>
          </w:tcPr>
          <w:p w14:paraId="6ED42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1800 метров</w:t>
            </w:r>
          </w:p>
        </w:tc>
      </w:tr>
    </w:tbl>
    <w:p w14:paraId="035A32B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Примечания:</w:t>
      </w:r>
    </w:p>
    <w:p w14:paraId="7F956FA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1.Пожарные депо следует размещать на земельных участках, имеющих выезды на дороги местного значения.</w:t>
      </w:r>
    </w:p>
    <w:p w14:paraId="4D8C553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2.Пожарные депо необходимо располагать на участке с отступом от красной линии до фронта выезда пожарных автомобилей не менее чем 15 м, для пожарных депо II, IV, V типов указанное расстояние допускается уменьшать до 10 м.</w:t>
      </w:r>
    </w:p>
    <w:p w14:paraId="05F2E77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3.Расстояние от границ участка пожарного депо до общественных и жилых зданий должно быть не менее 15 м, а до границ земельных участков детских дошкольных образовательных учреждений, образовательных учреждений и лечебных учреждений стационарного типа - не менее 30 метров.</w:t>
      </w:r>
    </w:p>
    <w:p w14:paraId="084399D2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4.Радиус обслуживания пожарного депо (поста) должен определяться из условия пути следования до наиболее удаленного здания или сооружения по дорогам общего пользования или проездам. В случае превышения указанного радиуса на территории промышленных и сельскохозяйственных предприятий необходимо предусматривать дополнительные пожарные посты.</w:t>
      </w:r>
    </w:p>
    <w:p w14:paraId="0279D26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5.Выезды из пожарных депо и постов должны быть расположены так, чтобы выезжающие пожарные автомобили не пересекали основных потоков транспорта и пешеходов (в сельских поселениях - скотопрогонов).</w:t>
      </w:r>
    </w:p>
    <w:p w14:paraId="282B8C7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Autospacing="0" w:after="0" w:afterAutospacing="0" w:line="240" w:lineRule="auto"/>
        <w:ind w:left="0" w:right="0" w:firstLine="0"/>
        <w:jc w:val="both"/>
        <w:textAlignment w:val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6.Площадь озеленения территории пожарного депо должна составлять не менее 15% площади участка.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445"/>
      </w:tblGrid>
      <w:tr w14:paraId="5EE8D2A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385" w:type="dxa"/>
          </w:tcPr>
          <w:p w14:paraId="06763A6F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МАТЕРИАЛЫ ПО ОБОСНОВАНИЮ </w:t>
            </w:r>
          </w:p>
          <w:p w14:paraId="24091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РАСЧЕТНЫХ ПОКАЗАТЕЛЕЙ, СОДЕРЖАЩИХСЯ</w:t>
            </w:r>
          </w:p>
          <w:p w14:paraId="7A3BC6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ОСНОВНОЙ ЧАСТИ МЕСТНЫХ НОРМАТИВОВ           ГРАДОСТРОИТЕЛЬНОГО ПРОЕКТИРОВАНИЯ</w:t>
            </w:r>
          </w:p>
          <w:p w14:paraId="5029C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Местных Нормативах установлены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 с учетом:</w:t>
            </w:r>
          </w:p>
          <w:p w14:paraId="2E9FB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административно-территориального устройства;</w:t>
            </w:r>
          </w:p>
          <w:p w14:paraId="33251A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социально-демографического состава и плотности населения;</w:t>
            </w:r>
          </w:p>
          <w:p w14:paraId="7BDAB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природно-климатических условий;</w:t>
            </w:r>
          </w:p>
          <w:p w14:paraId="712B8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федерального законодательства, иных градостроительных показателей и норм.</w:t>
            </w:r>
          </w:p>
          <w:p w14:paraId="7820B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Нормативы направлены на повышение благоприятных условий жизни населения сельских поселений,  устойчивое развитие их территорий.</w:t>
            </w:r>
          </w:p>
          <w:p w14:paraId="3CB18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Минимальные расчетные показатели,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объектов, размещаемых на застроенных и подлежащей застройке территориях общественно-деловых, жилых, рекреационных зон.</w:t>
            </w:r>
          </w:p>
          <w:p w14:paraId="210B3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Расчетные показатели минимально допустимого уровня обеспеченности объектами в области транспорта, предупреждения чрезвычайных ситуаций природного и техногенного характера, стихийных бедствий, эпидемий и ликвидация их последствий, образования, здравоохранения, физической культуры и спорта, социального обеспечения, утилизации и переработки бытовых и промышленных отходов, в иных областях, расчетные показатели и параметры развития, организации и использования территорий, градостроительные показатели и нормы для архитектурно – строительного проектирования подготовлены в соответствии с:</w:t>
            </w:r>
          </w:p>
          <w:p w14:paraId="3D40C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Градостроительным кодексом РФ от 29.12.2004 № 190-ФЗ;</w:t>
            </w:r>
          </w:p>
          <w:p w14:paraId="719FEA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Земельным кодексом РФ от 25.10.2001 № 136-ФЗ;</w:t>
            </w:r>
          </w:p>
          <w:p w14:paraId="24D74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06.10.2003 № 131-ФЗ «Об общих принципах организации местного самоуправления в Российской Федерации»;</w:t>
            </w:r>
          </w:p>
          <w:p w14:paraId="553CC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29.12..2004 № 191-ФЗ «О введении в действие Градостроительного кодекса Российской Федерации»;</w:t>
            </w:r>
          </w:p>
          <w:p w14:paraId="7C9C13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27.12.2002 № 184-ФЗ «О техническом  регулировании»;</w:t>
            </w:r>
          </w:p>
          <w:p w14:paraId="072C0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22.07.2008 № 123-ФЗ «Технический регламент о требованиях пожарной безопасности»;</w:t>
            </w:r>
          </w:p>
          <w:p w14:paraId="3F461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14.03.1995 № 33-ФЗ «Об особо охраняемых природных территориях»;</w:t>
            </w:r>
          </w:p>
          <w:p w14:paraId="1D30D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10.01.2002 № 7-ФЗ «Об охране окружающей среды»;</w:t>
            </w:r>
          </w:p>
          <w:p w14:paraId="5E9AC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Законом Российской Федерации от 10.12.1995 № 195-ФЗ «Об основах социального обслуживания в Российской Федерации»;</w:t>
            </w:r>
          </w:p>
          <w:p w14:paraId="43BCAC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08.11.2007№ 257-ФЗ «Об автомобильных дорогах и о дорожной деятельности в Российской Федерации»;</w:t>
            </w:r>
          </w:p>
          <w:p w14:paraId="0F466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Федеральным законом от 15.04.1998 № 66-ФЗ «О садоводческих, огороднических и дачных некоммерческих объединениях граждан»;</w:t>
            </w:r>
          </w:p>
          <w:p w14:paraId="2E9B6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Распоряжением Правительства Российской Федерации от 03.07.1996 №1063-р «О социальных нормативах и нормах»;</w:t>
            </w:r>
          </w:p>
          <w:p w14:paraId="745D49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Распоряжением Правительства Российской Федерации от 19.10.1999 №1683-р «О методике определения нормативной потребности субъектов Российской Федерации в объектах социальной инфраструктуры»;</w:t>
            </w:r>
          </w:p>
          <w:p w14:paraId="492701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Постановлением Правительства Российской Федерации от 18.04.2014 №360 «Об определении границ зон затопления, подтопления»;</w:t>
            </w:r>
          </w:p>
          <w:p w14:paraId="0089A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СНиП 2.01.51-90 «Инженерно-технические мероприятия гражданской обороны»;</w:t>
            </w:r>
          </w:p>
          <w:p w14:paraId="337A9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34.13330.2012. Свод правил. Автомобильные дороги;</w:t>
            </w:r>
          </w:p>
          <w:p w14:paraId="2C41D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СНиП 2.06.15-85 «Инженерная защита территории от затопления и подтопления»;</w:t>
            </w:r>
          </w:p>
          <w:p w14:paraId="6E1194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42.13330.2011. Свод правил. Градостроительство. Планировка и застройка городских и сельских поселений;</w:t>
            </w:r>
          </w:p>
          <w:p w14:paraId="768B1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118.13330.2012. Свод правил. Общественные здания и сооружения;</w:t>
            </w:r>
          </w:p>
          <w:p w14:paraId="4952B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43.13330.2012. Свод правил. Сооружения промышленных предприятий;</w:t>
            </w:r>
          </w:p>
          <w:p w14:paraId="719019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СНиП 21-01-97 «Пожарная безопасность зданий и сооружений»;</w:t>
            </w:r>
          </w:p>
          <w:p w14:paraId="13D8E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113.13330.2012. Свод правил. Стоянки автомобилей;</w:t>
            </w:r>
          </w:p>
          <w:p w14:paraId="55EFE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116.13330.2012. Свод правил. Инженерная защита территорий, зданий и сооружений от опасных геологических процессов;</w:t>
            </w:r>
          </w:p>
          <w:p w14:paraId="204BA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59.13330.2012. Свод правил. Доступность зданий и сооружений для маломобильных групп населения;</w:t>
            </w:r>
          </w:p>
          <w:p w14:paraId="2D22E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НПБ 101-95 «Нормы проектирования объектов пожарной охраны»;</w:t>
            </w:r>
          </w:p>
          <w:p w14:paraId="239BF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СанПиН 2.1.2.2645-10. «Санитарно-эпидемиологические требования к условиям проживания в жилых зданиях и помещениях»;</w:t>
            </w:r>
          </w:p>
          <w:p w14:paraId="1C688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"consultantplus://offline/ref=FA97B543614E50AF0156E1D551E4613D1B9FB4739CD12BA6950FA9BFAA01734DB2AFF69CF1952EBCo8Y7N"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СанПиН 2.1.2882-11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«Гигиенические требования к размещению, устройству и содержанию кладбищ, зданий и сооружений похоронного назначения»;</w:t>
            </w:r>
          </w:p>
          <w:p w14:paraId="4733E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HYPERLINK "consultantplus://offline/ref=FA97B543614E50AF0156E1D551E4613D1B98BE7699D42BA6950FA9BFAA01734DB2AFF69CF1952EBCo8Y7N"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СанПиН 2.2.1/2.1.1.1200-03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fldChar w:fldCharType="end"/>
            </w:r>
            <w:r>
              <w:rPr>
                <w:rFonts w:ascii="Times New Roman" w:hAnsi="Times New Roman"/>
                <w:sz w:val="20"/>
                <w:szCs w:val="20"/>
              </w:rPr>
              <w:t xml:space="preserve"> «Санитарно-защитные зоны и санитарная классификация предприятий, сооружений и иных объектов. Санитарно-эпидемиологические правила и нормативы»;</w:t>
            </w:r>
          </w:p>
          <w:p w14:paraId="7577F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11-112-2001 «Порядок разработки и состав раздела «Инженерно-технические мероприятия гражданской обороны. Мероприятия по предупреждению чрезвычайных ситуаций» градостроительной документации для территорий городских и сельских поселений, других муниципальных образований»;</w:t>
            </w:r>
          </w:p>
          <w:p w14:paraId="03060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 30-102-99 «Планировка и застройка территорий малоэтажного жилищного строительства»;</w:t>
            </w:r>
          </w:p>
          <w:p w14:paraId="740B9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Законом Кировской области от 28.09.2006 № 44-ЗО «О регулировании градостроительной деятельности в Кировской области»;</w:t>
            </w:r>
          </w:p>
          <w:p w14:paraId="289CA3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beforeAutospacing="0" w:after="0" w:afterAutospacing="0" w:line="240" w:lineRule="auto"/>
              <w:ind w:left="0" w:right="0" w:firstLine="0"/>
              <w:jc w:val="both"/>
              <w:textAlignment w:val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Региональными нормативами градостроительного проектирования Кировской области.</w:t>
            </w:r>
          </w:p>
        </w:tc>
      </w:tr>
    </w:tbl>
    <w:p w14:paraId="71AA21AA">
      <w:pPr>
        <w:jc w:val="both"/>
        <w:rPr>
          <w:rFonts w:ascii="Times New Roman" w:hAnsi="Times New Roman"/>
          <w:sz w:val="28"/>
          <w:szCs w:val="28"/>
        </w:rPr>
      </w:pPr>
    </w:p>
    <w:p w14:paraId="2A414A24">
      <w:pPr>
        <w:jc w:val="both"/>
        <w:rPr>
          <w:rFonts w:ascii="Times New Roman" w:hAnsi="Times New Roman"/>
          <w:sz w:val="28"/>
          <w:szCs w:val="28"/>
        </w:rPr>
      </w:pPr>
    </w:p>
    <w:p w14:paraId="669AA0F3">
      <w:pPr>
        <w:jc w:val="both"/>
        <w:rPr>
          <w:rFonts w:ascii="Times New Roman" w:hAnsi="Times New Roman"/>
          <w:sz w:val="28"/>
          <w:szCs w:val="28"/>
        </w:rPr>
      </w:pPr>
    </w:p>
    <w:p w14:paraId="34EB1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B3E79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sectPr>
      <w:headerReference r:id="rId5" w:type="default"/>
      <w:pgSz w:w="11906" w:h="16838"/>
      <w:pgMar w:top="23" w:right="850" w:bottom="1134" w:left="1701" w:header="284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9426B"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18</w:t>
    </w:r>
    <w:r>
      <w:fldChar w:fldCharType="end"/>
    </w:r>
  </w:p>
  <w:p w14:paraId="7316B30B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E42F5E"/>
    <w:multiLevelType w:val="multilevel"/>
    <w:tmpl w:val="5AE42F5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 w:ascii="Times New Roman" w:hAnsi="Times New Roman" w:cs="Times New Roman"/>
        <w:sz w:val="24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 w:ascii="Times New Roman" w:hAnsi="Times New Roman" w:cs="Times New Roman"/>
        <w:sz w:val="24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 w:ascii="Times New Roman" w:hAnsi="Times New Roman" w:cs="Times New Roman"/>
        <w:sz w:val="24"/>
      </w:rPr>
    </w:lvl>
    <w:lvl w:ilvl="4" w:tentative="0">
      <w:start w:val="1"/>
      <w:numFmt w:val="decimal"/>
      <w:isLgl/>
      <w:lvlText w:val="%1.%2.%3.%4.%5."/>
      <w:lvlJc w:val="left"/>
      <w:pPr>
        <w:ind w:left="2520" w:hanging="720"/>
      </w:pPr>
      <w:rPr>
        <w:rFonts w:hint="default" w:ascii="Times New Roman" w:hAnsi="Times New Roman" w:cs="Times New Roman"/>
        <w:sz w:val="24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 w:ascii="Times New Roman" w:hAnsi="Times New Roman" w:cs="Times New Roman"/>
        <w:sz w:val="24"/>
      </w:rPr>
    </w:lvl>
    <w:lvl w:ilvl="6" w:tentative="0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 w:ascii="Times New Roman" w:hAnsi="Times New Roman" w:cs="Times New Roman"/>
        <w:sz w:val="24"/>
      </w:rPr>
    </w:lvl>
    <w:lvl w:ilvl="7" w:tentative="0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 w:ascii="Times New Roman" w:hAnsi="Times New Roman" w:cs="Times New Roman"/>
        <w:sz w:val="24"/>
      </w:rPr>
    </w:lvl>
    <w:lvl w:ilvl="8" w:tentative="0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 w:ascii="Times New Roman" w:hAnsi="Times New Roman" w:cs="Times New Roman"/>
        <w:sz w:val="24"/>
      </w:rPr>
    </w:lvl>
  </w:abstractNum>
  <w:abstractNum w:abstractNumId="1">
    <w:nsid w:val="67903FBE"/>
    <w:multiLevelType w:val="multilevel"/>
    <w:tmpl w:val="67903FBE"/>
    <w:lvl w:ilvl="0" w:tentative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 w:cs="Times New Roman"/>
      </w:rPr>
    </w:lvl>
    <w:lvl w:ilvl="1" w:tentative="0">
      <w:start w:val="9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 w:cs="Times New Roman"/>
      </w:rPr>
    </w:lvl>
    <w:lvl w:ilvl="2" w:tentative="0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 w:cs="Times New Roman"/>
      </w:rPr>
    </w:lvl>
    <w:lvl w:ilvl="3" w:tentative="0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 w:cs="Times New Roman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 w:cs="Times New Roman"/>
      </w:rPr>
    </w:lvl>
    <w:lvl w:ilvl="5" w:tentative="0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 w:cs="Times New Roman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 w:cs="Times New Roman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 w:cs="Times New Roman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0D0E"/>
    <w:rsid w:val="000573AF"/>
    <w:rsid w:val="000A0D0E"/>
    <w:rsid w:val="0011131D"/>
    <w:rsid w:val="00112909"/>
    <w:rsid w:val="0011330F"/>
    <w:rsid w:val="001263C1"/>
    <w:rsid w:val="00146D5E"/>
    <w:rsid w:val="00167031"/>
    <w:rsid w:val="00181C88"/>
    <w:rsid w:val="001A467E"/>
    <w:rsid w:val="001C1235"/>
    <w:rsid w:val="002266EB"/>
    <w:rsid w:val="00226C13"/>
    <w:rsid w:val="0025340C"/>
    <w:rsid w:val="00254E53"/>
    <w:rsid w:val="00260D34"/>
    <w:rsid w:val="002706B2"/>
    <w:rsid w:val="00286D2B"/>
    <w:rsid w:val="0029061E"/>
    <w:rsid w:val="002A3909"/>
    <w:rsid w:val="002F7383"/>
    <w:rsid w:val="00305853"/>
    <w:rsid w:val="00305D47"/>
    <w:rsid w:val="00340F91"/>
    <w:rsid w:val="00361ADF"/>
    <w:rsid w:val="00380CA0"/>
    <w:rsid w:val="00382EF1"/>
    <w:rsid w:val="00392148"/>
    <w:rsid w:val="00437EE0"/>
    <w:rsid w:val="00456CF5"/>
    <w:rsid w:val="00477153"/>
    <w:rsid w:val="00490185"/>
    <w:rsid w:val="004A3DAE"/>
    <w:rsid w:val="004E0020"/>
    <w:rsid w:val="004E642A"/>
    <w:rsid w:val="004F757F"/>
    <w:rsid w:val="00534B97"/>
    <w:rsid w:val="0053670D"/>
    <w:rsid w:val="00557D27"/>
    <w:rsid w:val="005730CB"/>
    <w:rsid w:val="005753B5"/>
    <w:rsid w:val="005829F0"/>
    <w:rsid w:val="00591857"/>
    <w:rsid w:val="005B3688"/>
    <w:rsid w:val="005B6B58"/>
    <w:rsid w:val="005C00FA"/>
    <w:rsid w:val="005C16F4"/>
    <w:rsid w:val="005C1BFA"/>
    <w:rsid w:val="005E380D"/>
    <w:rsid w:val="00602C61"/>
    <w:rsid w:val="00603080"/>
    <w:rsid w:val="0068101F"/>
    <w:rsid w:val="00684DD3"/>
    <w:rsid w:val="00690D4A"/>
    <w:rsid w:val="00693767"/>
    <w:rsid w:val="006A3F76"/>
    <w:rsid w:val="006D3F56"/>
    <w:rsid w:val="006F5F20"/>
    <w:rsid w:val="006F7959"/>
    <w:rsid w:val="00714771"/>
    <w:rsid w:val="0073600E"/>
    <w:rsid w:val="0074339F"/>
    <w:rsid w:val="00795AA7"/>
    <w:rsid w:val="007A75AA"/>
    <w:rsid w:val="008452A8"/>
    <w:rsid w:val="00846921"/>
    <w:rsid w:val="008C1AEA"/>
    <w:rsid w:val="008D70D8"/>
    <w:rsid w:val="008E778B"/>
    <w:rsid w:val="0094347E"/>
    <w:rsid w:val="00972484"/>
    <w:rsid w:val="00991E37"/>
    <w:rsid w:val="009B3D50"/>
    <w:rsid w:val="009B57F1"/>
    <w:rsid w:val="009F24C9"/>
    <w:rsid w:val="00A315BC"/>
    <w:rsid w:val="00A33540"/>
    <w:rsid w:val="00A55EA7"/>
    <w:rsid w:val="00AA3DDA"/>
    <w:rsid w:val="00AC37E2"/>
    <w:rsid w:val="00AD5061"/>
    <w:rsid w:val="00B21DC4"/>
    <w:rsid w:val="00B26525"/>
    <w:rsid w:val="00B74B0A"/>
    <w:rsid w:val="00B74E0C"/>
    <w:rsid w:val="00BA5EBD"/>
    <w:rsid w:val="00BC1F09"/>
    <w:rsid w:val="00BF6024"/>
    <w:rsid w:val="00C5056E"/>
    <w:rsid w:val="00C648B7"/>
    <w:rsid w:val="00C905F1"/>
    <w:rsid w:val="00CA23BF"/>
    <w:rsid w:val="00CA3337"/>
    <w:rsid w:val="00D01C95"/>
    <w:rsid w:val="00D21593"/>
    <w:rsid w:val="00D24316"/>
    <w:rsid w:val="00D32567"/>
    <w:rsid w:val="00D65015"/>
    <w:rsid w:val="00D73ADD"/>
    <w:rsid w:val="00DB165C"/>
    <w:rsid w:val="00DF2A0C"/>
    <w:rsid w:val="00DF7A48"/>
    <w:rsid w:val="00E00D1A"/>
    <w:rsid w:val="00E124B0"/>
    <w:rsid w:val="00E17536"/>
    <w:rsid w:val="00E41801"/>
    <w:rsid w:val="00E4193C"/>
    <w:rsid w:val="00E76E7D"/>
    <w:rsid w:val="00E8741B"/>
    <w:rsid w:val="00EA4FDE"/>
    <w:rsid w:val="00EC020E"/>
    <w:rsid w:val="00ED2AAE"/>
    <w:rsid w:val="00EF30A7"/>
    <w:rsid w:val="00EF3228"/>
    <w:rsid w:val="00F012FF"/>
    <w:rsid w:val="00F23BFE"/>
    <w:rsid w:val="00F319E5"/>
    <w:rsid w:val="00F916A0"/>
    <w:rsid w:val="00F95562"/>
    <w:rsid w:val="00FA6467"/>
    <w:rsid w:val="00FB41B8"/>
    <w:rsid w:val="00FB7BD2"/>
    <w:rsid w:val="00FE11D5"/>
    <w:rsid w:val="16AB48B4"/>
    <w:rsid w:val="28EF3AF4"/>
    <w:rsid w:val="58C1241C"/>
    <w:rsid w:val="6097509A"/>
    <w:rsid w:val="7397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3"/>
    <w:qFormat/>
    <w:uiPriority w:val="99"/>
    <w:pPr>
      <w:tabs>
        <w:tab w:val="center" w:pos="4677"/>
        <w:tab w:val="right" w:pos="9355"/>
      </w:tabs>
    </w:pPr>
  </w:style>
  <w:style w:type="paragraph" w:styleId="5">
    <w:name w:val="footer"/>
    <w:basedOn w:val="1"/>
    <w:link w:val="14"/>
    <w:semiHidden/>
    <w:qFormat/>
    <w:uiPriority w:val="99"/>
    <w:pPr>
      <w:tabs>
        <w:tab w:val="center" w:pos="4677"/>
        <w:tab w:val="right" w:pos="9355"/>
      </w:tabs>
    </w:pPr>
  </w:style>
  <w:style w:type="paragraph" w:styleId="6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7">
    <w:name w:val="Абзац1"/>
    <w:basedOn w:val="1"/>
    <w:qFormat/>
    <w:uiPriority w:val="99"/>
    <w:pPr>
      <w:spacing w:after="60" w:line="360" w:lineRule="exact"/>
      <w:ind w:firstLine="709"/>
      <w:jc w:val="both"/>
    </w:pPr>
    <w:rPr>
      <w:rFonts w:ascii="Times New Roman" w:hAnsi="Times New Roman"/>
      <w:sz w:val="28"/>
      <w:szCs w:val="24"/>
    </w:rPr>
  </w:style>
  <w:style w:type="paragraph" w:customStyle="1" w:styleId="8">
    <w:name w:val="ConsPlusNormal"/>
    <w:link w:val="9"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9">
    <w:name w:val="ConsPlusNormal Знак"/>
    <w:basedOn w:val="2"/>
    <w:link w:val="8"/>
    <w:qFormat/>
    <w:locked/>
    <w:uiPriority w:val="99"/>
    <w:rPr>
      <w:rFonts w:ascii="Arial" w:hAnsi="Arial" w:cs="Arial"/>
      <w:lang w:val="ru-RU" w:eastAsia="ru-RU" w:bidi="ar-SA"/>
    </w:rPr>
  </w:style>
  <w:style w:type="paragraph" w:styleId="10">
    <w:name w:val="List Paragraph"/>
    <w:basedOn w:val="1"/>
    <w:qFormat/>
    <w:uiPriority w:val="99"/>
    <w:pPr>
      <w:ind w:left="720"/>
      <w:contextualSpacing/>
    </w:pPr>
  </w:style>
  <w:style w:type="paragraph" w:customStyle="1" w:styleId="11">
    <w:name w:val="Знак Знак1"/>
    <w:basedOn w:val="1"/>
    <w:qFormat/>
    <w:uiPriority w:val="9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12">
    <w:name w:val="Знак Знак11"/>
    <w:basedOn w:val="1"/>
    <w:qFormat/>
    <w:uiPriority w:val="9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13">
    <w:name w:val="Header Char"/>
    <w:basedOn w:val="2"/>
    <w:link w:val="4"/>
    <w:qFormat/>
    <w:locked/>
    <w:uiPriority w:val="99"/>
    <w:rPr>
      <w:rFonts w:cs="Times New Roman"/>
    </w:rPr>
  </w:style>
  <w:style w:type="character" w:customStyle="1" w:styleId="14">
    <w:name w:val="Footer Char"/>
    <w:basedOn w:val="2"/>
    <w:link w:val="5"/>
    <w:semiHidden/>
    <w:qFormat/>
    <w:locked/>
    <w:uiPriority w:val="99"/>
    <w:rPr>
      <w:rFonts w:cs="Times New Roman"/>
    </w:rPr>
  </w:style>
  <w:style w:type="paragraph" w:customStyle="1" w:styleId="15">
    <w:name w:val="Standard"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SimSun" w:cs="Arial"/>
      <w:kern w:val="3"/>
      <w:sz w:val="24"/>
      <w:szCs w:val="24"/>
      <w:lang w:val="ru-RU" w:eastAsia="zh-CN" w:bidi="hi-IN"/>
    </w:rPr>
  </w:style>
  <w:style w:type="paragraph" w:customStyle="1" w:styleId="16">
    <w:name w:val="Text body"/>
    <w:basedOn w:val="15"/>
    <w:uiPriority w:val="0"/>
    <w:pPr>
      <w:spacing w:before="0" w:after="1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wmf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Krokoz™</Company>
  <Pages>12</Pages>
  <Words>5332</Words>
  <Characters>30397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2015-03-11T12:30:00Z</dcterms:created>
  <dc:creator>Архитектор</dc:creator>
  <cp:lastModifiedBy>User_95</cp:lastModifiedBy>
  <cp:lastPrinted>2022-04-19T11:16:00Z</cp:lastPrinted>
  <dcterms:modified xsi:type="dcterms:W3CDTF">2025-07-16T10:58:30Z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A183EB4D016D449FAB100F1DAEE7C73E</vt:lpwstr>
  </property>
</Properties>
</file>